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1D00" w14:textId="1F4D65FC" w:rsidR="00BB65F8" w:rsidRDefault="00BB65F8" w:rsidP="00BB65F8">
      <w:pPr>
        <w:jc w:val="center"/>
        <w:rPr>
          <w:b/>
          <w:bCs/>
          <w:sz w:val="28"/>
          <w:szCs w:val="28"/>
        </w:rPr>
      </w:pPr>
      <w:r w:rsidRPr="00BB65F8">
        <w:rPr>
          <w:b/>
          <w:bCs/>
          <w:sz w:val="28"/>
          <w:szCs w:val="28"/>
        </w:rPr>
        <w:t>Projet APAC : Appui aux Populations Affectées par la Crise Sahélienne</w:t>
      </w:r>
    </w:p>
    <w:tbl>
      <w:tblPr>
        <w:tblStyle w:val="Grilledutableau"/>
        <w:tblW w:w="9781" w:type="dxa"/>
        <w:tblInd w:w="-5" w:type="dxa"/>
        <w:tblLook w:val="04A0" w:firstRow="1" w:lastRow="0" w:firstColumn="1" w:lastColumn="0" w:noHBand="0" w:noVBand="1"/>
      </w:tblPr>
      <w:tblGrid>
        <w:gridCol w:w="2270"/>
        <w:gridCol w:w="2265"/>
        <w:gridCol w:w="2266"/>
        <w:gridCol w:w="2980"/>
      </w:tblGrid>
      <w:tr w:rsidR="000C6A45" w14:paraId="79D6C99A" w14:textId="77777777" w:rsidTr="00C556C1">
        <w:tc>
          <w:tcPr>
            <w:tcW w:w="9781" w:type="dxa"/>
            <w:gridSpan w:val="4"/>
            <w:tcBorders>
              <w:bottom w:val="single" w:sz="4" w:space="0" w:color="auto"/>
            </w:tcBorders>
            <w:shd w:val="clear" w:color="auto" w:fill="BFBFBF" w:themeFill="background1" w:themeFillShade="BF"/>
          </w:tcPr>
          <w:p w14:paraId="18EDE780" w14:textId="44ED495F" w:rsidR="000C6A45" w:rsidRPr="000C6A45" w:rsidRDefault="000C6A45" w:rsidP="000C6A45">
            <w:pPr>
              <w:pStyle w:val="Paragraphedeliste"/>
              <w:numPr>
                <w:ilvl w:val="0"/>
                <w:numId w:val="3"/>
              </w:numPr>
              <w:jc w:val="center"/>
              <w:rPr>
                <w:b/>
                <w:bCs/>
              </w:rPr>
            </w:pPr>
            <w:r>
              <w:rPr>
                <w:b/>
                <w:bCs/>
              </w:rPr>
              <w:t>Données générales sur le projet</w:t>
            </w:r>
          </w:p>
        </w:tc>
      </w:tr>
      <w:tr w:rsidR="00BB65F8" w14:paraId="3EA27794" w14:textId="77777777" w:rsidTr="00C556C1">
        <w:tc>
          <w:tcPr>
            <w:tcW w:w="2270" w:type="dxa"/>
            <w:shd w:val="clear" w:color="auto" w:fill="auto"/>
          </w:tcPr>
          <w:p w14:paraId="0A1FF5A4" w14:textId="34023919" w:rsidR="00BB65F8" w:rsidRPr="00BB65F8" w:rsidRDefault="00BB65F8" w:rsidP="00BB65F8">
            <w:pPr>
              <w:rPr>
                <w:b/>
                <w:bCs/>
              </w:rPr>
            </w:pPr>
            <w:r w:rsidRPr="00BB65F8">
              <w:rPr>
                <w:b/>
                <w:bCs/>
              </w:rPr>
              <w:t>Partenaire du projet</w:t>
            </w:r>
          </w:p>
        </w:tc>
        <w:tc>
          <w:tcPr>
            <w:tcW w:w="2265" w:type="dxa"/>
            <w:shd w:val="clear" w:color="auto" w:fill="auto"/>
          </w:tcPr>
          <w:p w14:paraId="071F5B2A" w14:textId="6EFBBE93" w:rsidR="00BB65F8" w:rsidRPr="00BB65F8" w:rsidRDefault="00BB65F8" w:rsidP="00BB65F8">
            <w:pPr>
              <w:rPr>
                <w:b/>
                <w:bCs/>
              </w:rPr>
            </w:pPr>
            <w:r w:rsidRPr="00BB65F8">
              <w:rPr>
                <w:b/>
                <w:bCs/>
              </w:rPr>
              <w:t>Période/durée</w:t>
            </w:r>
          </w:p>
        </w:tc>
        <w:tc>
          <w:tcPr>
            <w:tcW w:w="2266" w:type="dxa"/>
            <w:shd w:val="clear" w:color="auto" w:fill="auto"/>
          </w:tcPr>
          <w:p w14:paraId="58F911C7" w14:textId="1B8921D8" w:rsidR="00BB65F8" w:rsidRPr="00BB65F8" w:rsidRDefault="00BB65F8" w:rsidP="00BB65F8">
            <w:pPr>
              <w:rPr>
                <w:b/>
                <w:bCs/>
              </w:rPr>
            </w:pPr>
            <w:r w:rsidRPr="00BB65F8">
              <w:rPr>
                <w:b/>
                <w:bCs/>
              </w:rPr>
              <w:t xml:space="preserve">Montant subvention </w:t>
            </w:r>
          </w:p>
        </w:tc>
        <w:tc>
          <w:tcPr>
            <w:tcW w:w="2980" w:type="dxa"/>
            <w:shd w:val="clear" w:color="auto" w:fill="auto"/>
          </w:tcPr>
          <w:p w14:paraId="662BEFFC" w14:textId="34C4860D" w:rsidR="00BB65F8" w:rsidRPr="00BB65F8" w:rsidRDefault="00BB65F8" w:rsidP="00BB65F8">
            <w:pPr>
              <w:rPr>
                <w:b/>
                <w:bCs/>
              </w:rPr>
            </w:pPr>
            <w:r w:rsidRPr="00BB65F8">
              <w:rPr>
                <w:b/>
                <w:bCs/>
              </w:rPr>
              <w:t>Communes cibles</w:t>
            </w:r>
          </w:p>
        </w:tc>
      </w:tr>
      <w:tr w:rsidR="00BB65F8" w14:paraId="3F303591" w14:textId="77777777" w:rsidTr="00C556C1">
        <w:tc>
          <w:tcPr>
            <w:tcW w:w="2270" w:type="dxa"/>
          </w:tcPr>
          <w:p w14:paraId="79D24B38" w14:textId="7613F1FB" w:rsidR="00BB65F8" w:rsidRDefault="00BB65F8" w:rsidP="00BB65F8">
            <w:r>
              <w:t>Acting For Life (AFL)</w:t>
            </w:r>
          </w:p>
        </w:tc>
        <w:tc>
          <w:tcPr>
            <w:tcW w:w="2265" w:type="dxa"/>
          </w:tcPr>
          <w:p w14:paraId="36217662" w14:textId="77777777" w:rsidR="00BB65F8" w:rsidRDefault="00BB65F8" w:rsidP="00BB65F8">
            <w:pPr>
              <w:jc w:val="center"/>
            </w:pPr>
            <w:r>
              <w:t>Mars 2024-Août 2025</w:t>
            </w:r>
          </w:p>
          <w:p w14:paraId="139C971C" w14:textId="5B496A6F" w:rsidR="00BB65F8" w:rsidRDefault="00BB65F8" w:rsidP="00BB65F8">
            <w:pPr>
              <w:jc w:val="center"/>
            </w:pPr>
            <w:r>
              <w:t>(18 mois)</w:t>
            </w:r>
          </w:p>
        </w:tc>
        <w:tc>
          <w:tcPr>
            <w:tcW w:w="2266" w:type="dxa"/>
          </w:tcPr>
          <w:p w14:paraId="795DD912" w14:textId="22F4F376" w:rsidR="00BB65F8" w:rsidRDefault="000C6A45" w:rsidP="000C6A45">
            <w:pPr>
              <w:jc w:val="center"/>
            </w:pPr>
            <w:r>
              <w:t>52 000 000</w:t>
            </w:r>
            <w:r w:rsidR="00B57FF6">
              <w:t xml:space="preserve"> FCFA</w:t>
            </w:r>
          </w:p>
        </w:tc>
        <w:tc>
          <w:tcPr>
            <w:tcW w:w="2980" w:type="dxa"/>
          </w:tcPr>
          <w:p w14:paraId="0A6F28DF" w14:textId="77777777" w:rsidR="00BB65F8" w:rsidRDefault="000C6A45" w:rsidP="00AF11B1">
            <w:pPr>
              <w:pStyle w:val="Paragraphedeliste"/>
              <w:numPr>
                <w:ilvl w:val="0"/>
                <w:numId w:val="2"/>
              </w:numPr>
              <w:ind w:left="318"/>
              <w:jc w:val="both"/>
            </w:pPr>
            <w:proofErr w:type="spellStart"/>
            <w:r>
              <w:t>Kérou</w:t>
            </w:r>
            <w:proofErr w:type="spellEnd"/>
            <w:r>
              <w:t xml:space="preserve">, </w:t>
            </w:r>
            <w:proofErr w:type="spellStart"/>
            <w:r>
              <w:t>Matéri</w:t>
            </w:r>
            <w:proofErr w:type="spellEnd"/>
            <w:r>
              <w:t xml:space="preserve">, </w:t>
            </w:r>
            <w:proofErr w:type="spellStart"/>
            <w:r>
              <w:t>Cobly</w:t>
            </w:r>
            <w:proofErr w:type="spellEnd"/>
            <w:r>
              <w:t xml:space="preserve"> et </w:t>
            </w:r>
            <w:proofErr w:type="spellStart"/>
            <w:r>
              <w:t>Tanguiéta</w:t>
            </w:r>
            <w:proofErr w:type="spellEnd"/>
            <w:r>
              <w:t xml:space="preserve"> (</w:t>
            </w:r>
            <w:proofErr w:type="spellStart"/>
            <w:r>
              <w:t>Atacora</w:t>
            </w:r>
            <w:proofErr w:type="spellEnd"/>
            <w:r>
              <w:t>)</w:t>
            </w:r>
          </w:p>
          <w:p w14:paraId="205D87D2" w14:textId="7B41FBDA" w:rsidR="000C6A45" w:rsidRDefault="000C6A45" w:rsidP="00AF11B1">
            <w:pPr>
              <w:pStyle w:val="Paragraphedeliste"/>
              <w:numPr>
                <w:ilvl w:val="0"/>
                <w:numId w:val="2"/>
              </w:numPr>
              <w:ind w:left="318"/>
              <w:jc w:val="both"/>
            </w:pPr>
            <w:proofErr w:type="spellStart"/>
            <w:r>
              <w:t>Copargo</w:t>
            </w:r>
            <w:proofErr w:type="spellEnd"/>
            <w:r>
              <w:t xml:space="preserve"> et </w:t>
            </w:r>
            <w:proofErr w:type="spellStart"/>
            <w:r>
              <w:t>Bassila</w:t>
            </w:r>
            <w:proofErr w:type="spellEnd"/>
            <w:r>
              <w:t xml:space="preserve"> (Donga)</w:t>
            </w:r>
          </w:p>
        </w:tc>
      </w:tr>
    </w:tbl>
    <w:p w14:paraId="35FE50FD" w14:textId="6783BD0E" w:rsidR="00566CA0" w:rsidRDefault="00022E97" w:rsidP="00BB65F8">
      <w:r>
        <w:t xml:space="preserve">        </w:t>
      </w:r>
    </w:p>
    <w:tbl>
      <w:tblPr>
        <w:tblStyle w:val="Grilledutableau"/>
        <w:tblW w:w="10207" w:type="dxa"/>
        <w:tblInd w:w="-431" w:type="dxa"/>
        <w:tblLook w:val="04A0" w:firstRow="1" w:lastRow="0" w:firstColumn="1" w:lastColumn="0" w:noHBand="0" w:noVBand="1"/>
      </w:tblPr>
      <w:tblGrid>
        <w:gridCol w:w="3120"/>
        <w:gridCol w:w="7087"/>
      </w:tblGrid>
      <w:tr w:rsidR="00582F52" w14:paraId="5B9F7A8A" w14:textId="77777777" w:rsidTr="00B57FF6">
        <w:tc>
          <w:tcPr>
            <w:tcW w:w="10207" w:type="dxa"/>
            <w:gridSpan w:val="2"/>
            <w:shd w:val="clear" w:color="auto" w:fill="BFBFBF" w:themeFill="background1" w:themeFillShade="BF"/>
          </w:tcPr>
          <w:p w14:paraId="55824B3E" w14:textId="0CDA4860" w:rsidR="00582F52" w:rsidRPr="00AF11B1" w:rsidRDefault="00582F52" w:rsidP="006D4088">
            <w:pPr>
              <w:pStyle w:val="Paragraphedeliste"/>
              <w:numPr>
                <w:ilvl w:val="0"/>
                <w:numId w:val="3"/>
              </w:numPr>
              <w:jc w:val="center"/>
              <w:rPr>
                <w:b/>
                <w:bCs/>
              </w:rPr>
            </w:pPr>
            <w:r>
              <w:rPr>
                <w:b/>
                <w:bCs/>
              </w:rPr>
              <w:t>Résultats visés et activités principales</w:t>
            </w:r>
          </w:p>
        </w:tc>
      </w:tr>
      <w:tr w:rsidR="00566CA0" w14:paraId="126DD4F3" w14:textId="77777777" w:rsidTr="00B57FF6">
        <w:tc>
          <w:tcPr>
            <w:tcW w:w="3120" w:type="dxa"/>
            <w:shd w:val="clear" w:color="auto" w:fill="auto"/>
          </w:tcPr>
          <w:p w14:paraId="102CF759" w14:textId="77777777" w:rsidR="00566CA0" w:rsidRPr="00BB65F8" w:rsidRDefault="00566CA0" w:rsidP="006D4088">
            <w:pPr>
              <w:rPr>
                <w:b/>
                <w:bCs/>
              </w:rPr>
            </w:pPr>
            <w:r>
              <w:rPr>
                <w:b/>
                <w:bCs/>
              </w:rPr>
              <w:t>Résultats clés</w:t>
            </w:r>
          </w:p>
        </w:tc>
        <w:tc>
          <w:tcPr>
            <w:tcW w:w="7087" w:type="dxa"/>
            <w:shd w:val="clear" w:color="auto" w:fill="auto"/>
          </w:tcPr>
          <w:p w14:paraId="2819C46F" w14:textId="6F88B8A1" w:rsidR="00566CA0" w:rsidRPr="00BB65F8" w:rsidRDefault="00566CA0" w:rsidP="006D4088">
            <w:pPr>
              <w:rPr>
                <w:b/>
                <w:bCs/>
              </w:rPr>
            </w:pPr>
            <w:r>
              <w:rPr>
                <w:b/>
                <w:bCs/>
              </w:rPr>
              <w:t xml:space="preserve">Activités clés déjà exécutées </w:t>
            </w:r>
            <w:r w:rsidR="00582F52">
              <w:rPr>
                <w:b/>
                <w:bCs/>
              </w:rPr>
              <w:t>par ACAD</w:t>
            </w:r>
          </w:p>
        </w:tc>
      </w:tr>
      <w:tr w:rsidR="00582F52" w14:paraId="6774B59E" w14:textId="77777777" w:rsidTr="00B57FF6">
        <w:tc>
          <w:tcPr>
            <w:tcW w:w="3120" w:type="dxa"/>
          </w:tcPr>
          <w:p w14:paraId="1A8F3AA2" w14:textId="77777777" w:rsidR="00582F52" w:rsidRDefault="00582F52" w:rsidP="006D4088">
            <w:pPr>
              <w:jc w:val="both"/>
            </w:pPr>
            <w:r w:rsidRPr="00AF11B1">
              <w:t>Résultat 1 : La mobilité / filière du bétail est mieux comprise et acceptée par les acteurs locaux</w:t>
            </w:r>
          </w:p>
        </w:tc>
        <w:tc>
          <w:tcPr>
            <w:tcW w:w="7087" w:type="dxa"/>
            <w:vMerge w:val="restart"/>
          </w:tcPr>
          <w:p w14:paraId="51EA626F" w14:textId="77777777" w:rsidR="00582F52" w:rsidRDefault="00582F52" w:rsidP="00582F52">
            <w:pPr>
              <w:jc w:val="both"/>
            </w:pPr>
            <w:r w:rsidRPr="00582F52">
              <w:t xml:space="preserve">Activités ACAD déjà exécutées : </w:t>
            </w:r>
          </w:p>
          <w:p w14:paraId="169882C7" w14:textId="77777777" w:rsidR="00582F52" w:rsidRDefault="00582F52" w:rsidP="00582F52">
            <w:pPr>
              <w:pStyle w:val="Paragraphedeliste"/>
              <w:numPr>
                <w:ilvl w:val="0"/>
                <w:numId w:val="6"/>
              </w:numPr>
              <w:jc w:val="both"/>
            </w:pPr>
            <w:r w:rsidRPr="00582F52">
              <w:t xml:space="preserve">1 ère Tournée de sensibilisation des maires pour la cohésion sociale, </w:t>
            </w:r>
          </w:p>
          <w:p w14:paraId="20EF8DC1" w14:textId="1FC9E215" w:rsidR="00582F52" w:rsidRDefault="00582F52" w:rsidP="00582F52">
            <w:pPr>
              <w:pStyle w:val="Paragraphedeliste"/>
              <w:numPr>
                <w:ilvl w:val="0"/>
                <w:numId w:val="6"/>
              </w:numPr>
              <w:jc w:val="both"/>
            </w:pPr>
            <w:r w:rsidRPr="00582F52">
              <w:t xml:space="preserve">Formation FIP pour 35 jeunes (17 avicultures et 18 transformations soja), </w:t>
            </w:r>
          </w:p>
          <w:p w14:paraId="2763B29B" w14:textId="77777777" w:rsidR="00582F52" w:rsidRDefault="00582F52" w:rsidP="00582F52">
            <w:pPr>
              <w:pStyle w:val="Paragraphedeliste"/>
              <w:numPr>
                <w:ilvl w:val="0"/>
                <w:numId w:val="6"/>
              </w:numPr>
              <w:jc w:val="both"/>
            </w:pPr>
            <w:r w:rsidRPr="00582F52">
              <w:t xml:space="preserve">Remise de kit pour aviculture et transformation soja (35 personnes), </w:t>
            </w:r>
          </w:p>
          <w:p w14:paraId="114467F2" w14:textId="6D505758" w:rsidR="00582F52" w:rsidRDefault="00582F52" w:rsidP="00582F52">
            <w:pPr>
              <w:pStyle w:val="Paragraphedeliste"/>
              <w:numPr>
                <w:ilvl w:val="0"/>
                <w:numId w:val="6"/>
              </w:numPr>
              <w:jc w:val="both"/>
            </w:pPr>
            <w:r w:rsidRPr="00582F52">
              <w:t xml:space="preserve">Appui institutionnel, </w:t>
            </w:r>
          </w:p>
          <w:p w14:paraId="5371DE1C" w14:textId="61236A0B" w:rsidR="00582F52" w:rsidRDefault="00582F52" w:rsidP="00582F52">
            <w:pPr>
              <w:pStyle w:val="Paragraphedeliste"/>
              <w:numPr>
                <w:ilvl w:val="0"/>
                <w:numId w:val="6"/>
              </w:numPr>
              <w:jc w:val="both"/>
            </w:pPr>
            <w:r w:rsidRPr="00582F52">
              <w:t>Suivi du projet</w:t>
            </w:r>
          </w:p>
        </w:tc>
      </w:tr>
      <w:tr w:rsidR="00582F52" w14:paraId="511A6C94" w14:textId="77777777" w:rsidTr="00B57FF6">
        <w:tc>
          <w:tcPr>
            <w:tcW w:w="3120" w:type="dxa"/>
          </w:tcPr>
          <w:p w14:paraId="03685761" w14:textId="77777777" w:rsidR="00582F52" w:rsidRDefault="00582F52" w:rsidP="006D4088">
            <w:pPr>
              <w:jc w:val="both"/>
            </w:pPr>
            <w:r>
              <w:t>Résultat 2 : Les moyens d'existence des ménages vulnérabilisés par la crise sont renforcés et</w:t>
            </w:r>
          </w:p>
          <w:p w14:paraId="54ECC3B5" w14:textId="77777777" w:rsidR="00582F52" w:rsidRPr="00AF11B1" w:rsidRDefault="00582F52" w:rsidP="006D4088">
            <w:pPr>
              <w:jc w:val="both"/>
            </w:pPr>
            <w:proofErr w:type="gramStart"/>
            <w:r>
              <w:t>diversifiés</w:t>
            </w:r>
            <w:proofErr w:type="gramEnd"/>
          </w:p>
        </w:tc>
        <w:tc>
          <w:tcPr>
            <w:tcW w:w="7087" w:type="dxa"/>
            <w:vMerge/>
          </w:tcPr>
          <w:p w14:paraId="602495C0" w14:textId="21CD2EE9" w:rsidR="00582F52" w:rsidRPr="00AF11B1" w:rsidRDefault="00582F52" w:rsidP="00582F52">
            <w:pPr>
              <w:jc w:val="both"/>
            </w:pPr>
          </w:p>
        </w:tc>
      </w:tr>
    </w:tbl>
    <w:p w14:paraId="3A199791" w14:textId="5F1EA720" w:rsidR="00310AEA" w:rsidRDefault="00310AEA" w:rsidP="00BB65F8"/>
    <w:tbl>
      <w:tblPr>
        <w:tblStyle w:val="Grilledutableau"/>
        <w:tblW w:w="9776" w:type="dxa"/>
        <w:tblLook w:val="04A0" w:firstRow="1" w:lastRow="0" w:firstColumn="1" w:lastColumn="0" w:noHBand="0" w:noVBand="1"/>
      </w:tblPr>
      <w:tblGrid>
        <w:gridCol w:w="9776"/>
      </w:tblGrid>
      <w:tr w:rsidR="00582F52" w14:paraId="6A1AB92B" w14:textId="77777777" w:rsidTr="00582F52">
        <w:tc>
          <w:tcPr>
            <w:tcW w:w="9776" w:type="dxa"/>
          </w:tcPr>
          <w:p w14:paraId="7DDB88C4" w14:textId="4BDFCCAF" w:rsidR="00582F52" w:rsidRDefault="00582F52" w:rsidP="00BB65F8">
            <w:r w:rsidRPr="00582F52">
              <w:rPr>
                <w:b/>
                <w:bCs/>
              </w:rPr>
              <w:t>Activités ACAD à mener avant Juillet 2025</w:t>
            </w:r>
            <w:r w:rsidRPr="00582F52">
              <w:t xml:space="preserve"> : Deuxième tournée des maires, formation transversale pour les 35 jeunes en gestions des AGR, Suivi et clôture du projet</w:t>
            </w:r>
          </w:p>
        </w:tc>
      </w:tr>
    </w:tbl>
    <w:p w14:paraId="05268961" w14:textId="675E4CEA" w:rsidR="00582F52" w:rsidRDefault="00C556C1" w:rsidP="00BB65F8">
      <w:r>
        <w:rPr>
          <w:noProof/>
        </w:rPr>
        <mc:AlternateContent>
          <mc:Choice Requires="wps">
            <w:drawing>
              <wp:anchor distT="0" distB="0" distL="114300" distR="114300" simplePos="0" relativeHeight="251659264" behindDoc="0" locked="0" layoutInCell="1" allowOverlap="1" wp14:anchorId="460901F9" wp14:editId="49259596">
                <wp:simplePos x="0" y="0"/>
                <wp:positionH relativeFrom="margin">
                  <wp:posOffset>808355</wp:posOffset>
                </wp:positionH>
                <wp:positionV relativeFrom="paragraph">
                  <wp:posOffset>96520</wp:posOffset>
                </wp:positionV>
                <wp:extent cx="4711700" cy="2355850"/>
                <wp:effectExtent l="0" t="0" r="12700" b="25400"/>
                <wp:wrapNone/>
                <wp:docPr id="1100363905" name="Rectangle 3"/>
                <wp:cNvGraphicFramePr/>
                <a:graphic xmlns:a="http://schemas.openxmlformats.org/drawingml/2006/main">
                  <a:graphicData uri="http://schemas.microsoft.com/office/word/2010/wordprocessingShape">
                    <wps:wsp>
                      <wps:cNvSpPr/>
                      <wps:spPr>
                        <a:xfrm>
                          <a:off x="0" y="0"/>
                          <a:ext cx="4711700" cy="23558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0CF62AB" w14:textId="634B5B87" w:rsidR="00582F52" w:rsidRDefault="00582F52" w:rsidP="00582F52">
                            <w:pPr>
                              <w:jc w:val="center"/>
                            </w:pPr>
                            <w:r>
                              <w:rPr>
                                <w:noProof/>
                              </w:rPr>
                              <w:drawing>
                                <wp:inline distT="0" distB="0" distL="0" distR="0" wp14:anchorId="28691D09" wp14:editId="05DBF4F5">
                                  <wp:extent cx="1952625" cy="1010116"/>
                                  <wp:effectExtent l="0" t="0" r="0" b="0"/>
                                  <wp:docPr id="7846396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983992" cy="1026342"/>
                                          </a:xfrm>
                                          <a:prstGeom prst="rect">
                                            <a:avLst/>
                                          </a:prstGeom>
                                          <a:noFill/>
                                          <a:ln>
                                            <a:noFill/>
                                          </a:ln>
                                        </pic:spPr>
                                      </pic:pic>
                                    </a:graphicData>
                                  </a:graphic>
                                </wp:inline>
                              </w:drawing>
                            </w:r>
                            <w:r>
                              <w:rPr>
                                <w:noProof/>
                              </w:rPr>
                              <w:t xml:space="preserve">        </w:t>
                            </w:r>
                            <w:r>
                              <w:rPr>
                                <w:noProof/>
                              </w:rPr>
                              <w:drawing>
                                <wp:inline distT="0" distB="0" distL="0" distR="0" wp14:anchorId="505DB1F4" wp14:editId="11D4A4C4">
                                  <wp:extent cx="2159000" cy="971449"/>
                                  <wp:effectExtent l="0" t="0" r="0" b="635"/>
                                  <wp:docPr id="6534410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2209726" cy="994274"/>
                                          </a:xfrm>
                                          <a:prstGeom prst="rect">
                                            <a:avLst/>
                                          </a:prstGeom>
                                          <a:noFill/>
                                          <a:ln>
                                            <a:noFill/>
                                          </a:ln>
                                        </pic:spPr>
                                      </pic:pic>
                                    </a:graphicData>
                                  </a:graphic>
                                </wp:inline>
                              </w:drawing>
                            </w:r>
                            <w:r w:rsidR="00C556C1">
                              <w:rPr>
                                <w:noProof/>
                              </w:rPr>
                              <w:t xml:space="preserve">       </w:t>
                            </w:r>
                            <w:r w:rsidR="00C556C1">
                              <w:rPr>
                                <w:noProof/>
                              </w:rPr>
                              <w:drawing>
                                <wp:inline distT="0" distB="0" distL="0" distR="0" wp14:anchorId="6C06A080" wp14:editId="341D0157">
                                  <wp:extent cx="1962150" cy="1162933"/>
                                  <wp:effectExtent l="0" t="0" r="0" b="0"/>
                                  <wp:docPr id="127301846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5191" cy="1176589"/>
                                          </a:xfrm>
                                          <a:prstGeom prst="rect">
                                            <a:avLst/>
                                          </a:prstGeom>
                                          <a:noFill/>
                                          <a:ln>
                                            <a:noFill/>
                                          </a:ln>
                                        </pic:spPr>
                                      </pic:pic>
                                    </a:graphicData>
                                  </a:graphic>
                                </wp:inline>
                              </w:drawing>
                            </w:r>
                            <w:r w:rsidR="00C556C1">
                              <w:rPr>
                                <w:noProof/>
                              </w:rPr>
                              <w:t xml:space="preserve">        </w:t>
                            </w:r>
                            <w:r w:rsidR="00C556C1">
                              <w:rPr>
                                <w:noProof/>
                              </w:rPr>
                              <w:drawing>
                                <wp:inline distT="0" distB="0" distL="0" distR="0" wp14:anchorId="238CC776" wp14:editId="331E3AE8">
                                  <wp:extent cx="2179997" cy="1226185"/>
                                  <wp:effectExtent l="0" t="0" r="0" b="0"/>
                                  <wp:docPr id="156909746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3434" cy="12449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901F9" id="Rectangle 3" o:spid="_x0000_s1026" style="position:absolute;margin-left:63.65pt;margin-top:7.6pt;width:371pt;height:1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" fillcolor="white [3201]" strokecolor="black [3200]" strokeweight=".25pt">
                <v:textbox>
                  <w:txbxContent>
                    <w:p w14:paraId="20CF62AB" w14:textId="634B5B87" w:rsidR="00582F52" w:rsidRDefault="00582F52" w:rsidP="00582F52">
                      <w:pPr>
                        <w:jc w:val="center"/>
                      </w:pPr>
                      <w:r>
                        <w:rPr>
                          <w:noProof/>
                        </w:rPr>
                        <w:drawing>
                          <wp:inline distT="0" distB="0" distL="0" distR="0" wp14:anchorId="28691D09" wp14:editId="05DBF4F5">
                            <wp:extent cx="1952625" cy="1010116"/>
                            <wp:effectExtent l="0" t="0" r="0" b="0"/>
                            <wp:docPr id="7846396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983992" cy="1026342"/>
                                    </a:xfrm>
                                    <a:prstGeom prst="rect">
                                      <a:avLst/>
                                    </a:prstGeom>
                                    <a:noFill/>
                                    <a:ln>
                                      <a:noFill/>
                                    </a:ln>
                                  </pic:spPr>
                                </pic:pic>
                              </a:graphicData>
                            </a:graphic>
                          </wp:inline>
                        </w:drawing>
                      </w:r>
                      <w:r>
                        <w:rPr>
                          <w:noProof/>
                        </w:rPr>
                        <w:t xml:space="preserve">        </w:t>
                      </w:r>
                      <w:r>
                        <w:rPr>
                          <w:noProof/>
                        </w:rPr>
                        <w:drawing>
                          <wp:inline distT="0" distB="0" distL="0" distR="0" wp14:anchorId="505DB1F4" wp14:editId="11D4A4C4">
                            <wp:extent cx="2159000" cy="971449"/>
                            <wp:effectExtent l="0" t="0" r="0" b="635"/>
                            <wp:docPr id="6534410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2209726" cy="994274"/>
                                    </a:xfrm>
                                    <a:prstGeom prst="rect">
                                      <a:avLst/>
                                    </a:prstGeom>
                                    <a:noFill/>
                                    <a:ln>
                                      <a:noFill/>
                                    </a:ln>
                                  </pic:spPr>
                                </pic:pic>
                              </a:graphicData>
                            </a:graphic>
                          </wp:inline>
                        </w:drawing>
                      </w:r>
                      <w:r w:rsidR="00C556C1">
                        <w:rPr>
                          <w:noProof/>
                        </w:rPr>
                        <w:t xml:space="preserve">       </w:t>
                      </w:r>
                      <w:r w:rsidR="00C556C1">
                        <w:rPr>
                          <w:noProof/>
                        </w:rPr>
                        <w:drawing>
                          <wp:inline distT="0" distB="0" distL="0" distR="0" wp14:anchorId="6C06A080" wp14:editId="341D0157">
                            <wp:extent cx="1962150" cy="1162933"/>
                            <wp:effectExtent l="0" t="0" r="0" b="0"/>
                            <wp:docPr id="127301846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5191" cy="1176589"/>
                                    </a:xfrm>
                                    <a:prstGeom prst="rect">
                                      <a:avLst/>
                                    </a:prstGeom>
                                    <a:noFill/>
                                    <a:ln>
                                      <a:noFill/>
                                    </a:ln>
                                  </pic:spPr>
                                </pic:pic>
                              </a:graphicData>
                            </a:graphic>
                          </wp:inline>
                        </w:drawing>
                      </w:r>
                      <w:r w:rsidR="00C556C1">
                        <w:rPr>
                          <w:noProof/>
                        </w:rPr>
                        <w:t xml:space="preserve">        </w:t>
                      </w:r>
                      <w:r w:rsidR="00C556C1">
                        <w:rPr>
                          <w:noProof/>
                        </w:rPr>
                        <w:drawing>
                          <wp:inline distT="0" distB="0" distL="0" distR="0" wp14:anchorId="238CC776" wp14:editId="331E3AE8">
                            <wp:extent cx="2179997" cy="1226185"/>
                            <wp:effectExtent l="0" t="0" r="0" b="0"/>
                            <wp:docPr id="156909746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3434" cy="1244992"/>
                                    </a:xfrm>
                                    <a:prstGeom prst="rect">
                                      <a:avLst/>
                                    </a:prstGeom>
                                    <a:noFill/>
                                    <a:ln>
                                      <a:noFill/>
                                    </a:ln>
                                  </pic:spPr>
                                </pic:pic>
                              </a:graphicData>
                            </a:graphic>
                          </wp:inline>
                        </w:drawing>
                      </w:r>
                    </w:p>
                  </w:txbxContent>
                </v:textbox>
                <w10:wrap anchorx="margin"/>
              </v:rect>
            </w:pict>
          </mc:Fallback>
        </mc:AlternateContent>
      </w:r>
    </w:p>
    <w:p w14:paraId="435A2A47" w14:textId="5BFC7A1A" w:rsidR="00582F52" w:rsidRDefault="00582F52" w:rsidP="00BB65F8"/>
    <w:p w14:paraId="3A921E4C" w14:textId="67E1FF74" w:rsidR="00582F52" w:rsidRDefault="00582F52" w:rsidP="00BB65F8"/>
    <w:p w14:paraId="49305797" w14:textId="1687DA35" w:rsidR="00582F52" w:rsidRDefault="00582F52" w:rsidP="00BB65F8"/>
    <w:p w14:paraId="67030E72" w14:textId="2FED3D59" w:rsidR="00582F52" w:rsidRDefault="00582F52" w:rsidP="00BB65F8">
      <w:r>
        <w:t xml:space="preserve"> </w:t>
      </w:r>
    </w:p>
    <w:p w14:paraId="161EE322" w14:textId="0E943913" w:rsidR="00582F52" w:rsidRDefault="00582F52" w:rsidP="00BB65F8"/>
    <w:p w14:paraId="1F03E086" w14:textId="77777777" w:rsidR="00582F52" w:rsidRDefault="00582F52" w:rsidP="00BB65F8"/>
    <w:p w14:paraId="2D4F5317" w14:textId="77777777" w:rsidR="00582F52" w:rsidRDefault="00582F52" w:rsidP="00BB65F8"/>
    <w:p w14:paraId="0B416C40" w14:textId="77777777" w:rsidR="00022E97" w:rsidRDefault="00022E97" w:rsidP="00BB65F8"/>
    <w:tbl>
      <w:tblPr>
        <w:tblStyle w:val="Grilledutableau"/>
        <w:tblW w:w="10065" w:type="dxa"/>
        <w:tblInd w:w="-289" w:type="dxa"/>
        <w:tblLook w:val="04A0" w:firstRow="1" w:lastRow="0" w:firstColumn="1" w:lastColumn="0" w:noHBand="0" w:noVBand="1"/>
      </w:tblPr>
      <w:tblGrid>
        <w:gridCol w:w="10065"/>
      </w:tblGrid>
      <w:tr w:rsidR="00CC3F1E" w14:paraId="0587E5FE" w14:textId="77777777" w:rsidTr="00C556C1">
        <w:tc>
          <w:tcPr>
            <w:tcW w:w="10065" w:type="dxa"/>
            <w:shd w:val="clear" w:color="auto" w:fill="BFBFBF" w:themeFill="background1" w:themeFillShade="BF"/>
          </w:tcPr>
          <w:p w14:paraId="0CAA8A4A" w14:textId="47CD2EB8" w:rsidR="00CC3F1E" w:rsidRPr="00AF11B1" w:rsidRDefault="00CC3F1E" w:rsidP="00BA3EA9">
            <w:pPr>
              <w:pStyle w:val="Paragraphedeliste"/>
              <w:numPr>
                <w:ilvl w:val="0"/>
                <w:numId w:val="3"/>
              </w:numPr>
              <w:jc w:val="center"/>
              <w:rPr>
                <w:b/>
                <w:bCs/>
              </w:rPr>
            </w:pPr>
            <w:r>
              <w:rPr>
                <w:b/>
                <w:bCs/>
              </w:rPr>
              <w:t xml:space="preserve">Quel positionnement stratégique pour ACAD dans le cadre de ce projet ? </w:t>
            </w:r>
          </w:p>
        </w:tc>
      </w:tr>
      <w:tr w:rsidR="00CC3F1E" w14:paraId="43E5772C" w14:textId="77777777" w:rsidTr="00C556C1">
        <w:tc>
          <w:tcPr>
            <w:tcW w:w="10065" w:type="dxa"/>
          </w:tcPr>
          <w:p w14:paraId="1F8B8BA2" w14:textId="77777777" w:rsidR="00CC3F1E" w:rsidRDefault="00EA09D1" w:rsidP="00EA09D1">
            <w:pPr>
              <w:pStyle w:val="Paragraphedeliste"/>
              <w:numPr>
                <w:ilvl w:val="0"/>
                <w:numId w:val="5"/>
              </w:numPr>
              <w:ind w:left="318"/>
              <w:jc w:val="both"/>
            </w:pPr>
            <w:r>
              <w:t xml:space="preserve">Le projet s’inscrit dans l’axe </w:t>
            </w:r>
            <w:r w:rsidRPr="00EA09D1">
              <w:t>1</w:t>
            </w:r>
            <w:r>
              <w:t xml:space="preserve"> </w:t>
            </w:r>
            <w:r w:rsidRPr="00EA09D1">
              <w:t xml:space="preserve">: </w:t>
            </w:r>
            <w:r>
              <w:t>‘’</w:t>
            </w:r>
            <w:r w:rsidRPr="00EA09D1">
              <w:t>Le renforcement de la gouvernance des communes</w:t>
            </w:r>
            <w:r>
              <w:t xml:space="preserve">’’. Il contribue à renforcer la résilience des communes face à la crise sécuritaire par le renforcement de la cohésion sociale et l’inclusion économique des personnes déplacées et vulnérabilisées. </w:t>
            </w:r>
          </w:p>
          <w:p w14:paraId="2B785B11" w14:textId="6F3A628C" w:rsidR="000B298A" w:rsidRDefault="00EA09D1" w:rsidP="00EA09D1">
            <w:pPr>
              <w:pStyle w:val="Paragraphedeliste"/>
              <w:numPr>
                <w:ilvl w:val="0"/>
                <w:numId w:val="5"/>
              </w:numPr>
              <w:ind w:left="318"/>
              <w:jc w:val="both"/>
            </w:pPr>
            <w:r>
              <w:t xml:space="preserve">ACAD se positionne comme une </w:t>
            </w:r>
            <w:r w:rsidR="000B298A">
              <w:t>institution charnière d’actualisation des données sur la situation de la crise</w:t>
            </w:r>
            <w:r w:rsidR="00137488">
              <w:t xml:space="preserve"> et d’appui à la coordination des interventions des PTF dans ses communes membres</w:t>
            </w:r>
            <w:r w:rsidR="000B298A">
              <w:t xml:space="preserve"> </w:t>
            </w:r>
          </w:p>
          <w:p w14:paraId="76E76FCB" w14:textId="77777777" w:rsidR="000B298A" w:rsidRDefault="000B298A" w:rsidP="00310AEA">
            <w:pPr>
              <w:pStyle w:val="Paragraphedeliste"/>
              <w:numPr>
                <w:ilvl w:val="0"/>
                <w:numId w:val="5"/>
              </w:numPr>
              <w:ind w:left="318"/>
              <w:jc w:val="both"/>
            </w:pPr>
            <w:r>
              <w:t xml:space="preserve">ACAD doit pouvoir paraître, aux yeux des PTF intervenant sur la </w:t>
            </w:r>
            <w:r w:rsidR="00310AEA">
              <w:t xml:space="preserve">thématique, </w:t>
            </w:r>
            <w:r w:rsidR="00137488">
              <w:t xml:space="preserve">comme </w:t>
            </w:r>
            <w:r w:rsidR="00310AEA">
              <w:t>une</w:t>
            </w:r>
            <w:r>
              <w:t xml:space="preserve"> structure incontournable dans la construction de la</w:t>
            </w:r>
            <w:r w:rsidR="00310AEA">
              <w:t xml:space="preserve"> stratégie globale de</w:t>
            </w:r>
            <w:r>
              <w:t xml:space="preserve"> résilience des populations</w:t>
            </w:r>
            <w:r w:rsidR="00310AEA">
              <w:t xml:space="preserve"> vis-à-vis de</w:t>
            </w:r>
            <w:r>
              <w:t xml:space="preserve"> la crise </w:t>
            </w:r>
            <w:r w:rsidR="00FD3059">
              <w:t>sécuritaire</w:t>
            </w:r>
          </w:p>
          <w:p w14:paraId="422C988F" w14:textId="1D6A003A" w:rsidR="00022E97" w:rsidRDefault="00022E97" w:rsidP="00310AEA">
            <w:pPr>
              <w:pStyle w:val="Paragraphedeliste"/>
              <w:numPr>
                <w:ilvl w:val="0"/>
                <w:numId w:val="5"/>
              </w:numPr>
              <w:ind w:left="318"/>
              <w:jc w:val="both"/>
            </w:pPr>
            <w:r>
              <w:t>Le développement des synergies d’actions avec tous les intervenants en matière de résilience et de cohésion sociale est nécessaire. Les maires sont sollicités pour faciliter la connexion et le développement de cette synergie</w:t>
            </w:r>
          </w:p>
        </w:tc>
      </w:tr>
    </w:tbl>
    <w:p w14:paraId="335CDD82" w14:textId="77777777" w:rsidR="00CC3F1E" w:rsidRDefault="00CC3F1E" w:rsidP="00FD3059"/>
    <w:sectPr w:rsidR="00CC3F1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F1A0" w14:textId="77777777" w:rsidR="00E10134" w:rsidRDefault="00E10134" w:rsidP="00B57FF6">
      <w:pPr>
        <w:spacing w:after="0" w:line="240" w:lineRule="auto"/>
      </w:pPr>
      <w:r>
        <w:separator/>
      </w:r>
    </w:p>
  </w:endnote>
  <w:endnote w:type="continuationSeparator" w:id="0">
    <w:p w14:paraId="243F638F" w14:textId="77777777" w:rsidR="00E10134" w:rsidRDefault="00E10134" w:rsidP="00B5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C541" w14:textId="77777777" w:rsidR="00E10134" w:rsidRDefault="00E10134" w:rsidP="00B57FF6">
      <w:pPr>
        <w:spacing w:after="0" w:line="240" w:lineRule="auto"/>
      </w:pPr>
      <w:r>
        <w:separator/>
      </w:r>
    </w:p>
  </w:footnote>
  <w:footnote w:type="continuationSeparator" w:id="0">
    <w:p w14:paraId="3E318713" w14:textId="77777777" w:rsidR="00E10134" w:rsidRDefault="00E10134" w:rsidP="00B5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BC1D" w14:textId="08FBF3D9" w:rsidR="00B57FF6" w:rsidRDefault="00B57FF6">
    <w:pPr>
      <w:pStyle w:val="En-tte"/>
    </w:pPr>
    <w:r>
      <w:rPr>
        <w:noProof/>
      </w:rPr>
      <w:drawing>
        <wp:inline distT="0" distB="0" distL="0" distR="0" wp14:anchorId="44C67A10" wp14:editId="0D45946D">
          <wp:extent cx="647700" cy="569595"/>
          <wp:effectExtent l="0" t="0" r="0" b="1905"/>
          <wp:docPr id="12186353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5695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F73"/>
    <w:multiLevelType w:val="hybridMultilevel"/>
    <w:tmpl w:val="4F3619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A76117"/>
    <w:multiLevelType w:val="hybridMultilevel"/>
    <w:tmpl w:val="0C940CBC"/>
    <w:lvl w:ilvl="0" w:tplc="A45A7BBA">
      <w:start w:val="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60413E"/>
    <w:multiLevelType w:val="hybridMultilevel"/>
    <w:tmpl w:val="0BC275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0A8330A"/>
    <w:multiLevelType w:val="hybridMultilevel"/>
    <w:tmpl w:val="7BB676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4360EA8"/>
    <w:multiLevelType w:val="hybridMultilevel"/>
    <w:tmpl w:val="2E9C91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32D1B51"/>
    <w:multiLevelType w:val="hybridMultilevel"/>
    <w:tmpl w:val="D38404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84286253">
    <w:abstractNumId w:val="4"/>
  </w:num>
  <w:num w:numId="2" w16cid:durableId="86124424">
    <w:abstractNumId w:val="1"/>
  </w:num>
  <w:num w:numId="3" w16cid:durableId="2075547610">
    <w:abstractNumId w:val="2"/>
  </w:num>
  <w:num w:numId="4" w16cid:durableId="428156839">
    <w:abstractNumId w:val="5"/>
  </w:num>
  <w:num w:numId="5" w16cid:durableId="1527861785">
    <w:abstractNumId w:val="3"/>
  </w:num>
  <w:num w:numId="6" w16cid:durableId="178226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F8"/>
    <w:rsid w:val="00022E97"/>
    <w:rsid w:val="000B298A"/>
    <w:rsid w:val="000C6A45"/>
    <w:rsid w:val="000D45AB"/>
    <w:rsid w:val="00137488"/>
    <w:rsid w:val="001709B9"/>
    <w:rsid w:val="002A0A19"/>
    <w:rsid w:val="00310AEA"/>
    <w:rsid w:val="004E7AF6"/>
    <w:rsid w:val="0056398D"/>
    <w:rsid w:val="00566CA0"/>
    <w:rsid w:val="00582F52"/>
    <w:rsid w:val="00787D6E"/>
    <w:rsid w:val="008A0007"/>
    <w:rsid w:val="00A006CA"/>
    <w:rsid w:val="00A64CEE"/>
    <w:rsid w:val="00A67359"/>
    <w:rsid w:val="00AF11B1"/>
    <w:rsid w:val="00B13C7D"/>
    <w:rsid w:val="00B57FF6"/>
    <w:rsid w:val="00BB65F8"/>
    <w:rsid w:val="00C556C1"/>
    <w:rsid w:val="00CC3F1E"/>
    <w:rsid w:val="00D250E1"/>
    <w:rsid w:val="00E10134"/>
    <w:rsid w:val="00E107CE"/>
    <w:rsid w:val="00EA09D1"/>
    <w:rsid w:val="00F0078A"/>
    <w:rsid w:val="00FD30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772C"/>
  <w15:chartTrackingRefBased/>
  <w15:docId w15:val="{0100CCFA-11F0-4246-AEA2-81B65ACB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65F8"/>
    <w:pPr>
      <w:ind w:left="720"/>
      <w:contextualSpacing/>
    </w:pPr>
  </w:style>
  <w:style w:type="table" w:styleId="Grilledutableau">
    <w:name w:val="Table Grid"/>
    <w:basedOn w:val="TableauNormal"/>
    <w:uiPriority w:val="39"/>
    <w:rsid w:val="00BB6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57FF6"/>
    <w:pPr>
      <w:tabs>
        <w:tab w:val="center" w:pos="4536"/>
        <w:tab w:val="right" w:pos="9072"/>
      </w:tabs>
      <w:spacing w:after="0" w:line="240" w:lineRule="auto"/>
    </w:pPr>
  </w:style>
  <w:style w:type="character" w:customStyle="1" w:styleId="En-tteCar">
    <w:name w:val="En-tête Car"/>
    <w:basedOn w:val="Policepardfaut"/>
    <w:link w:val="En-tte"/>
    <w:uiPriority w:val="99"/>
    <w:rsid w:val="00B57FF6"/>
  </w:style>
  <w:style w:type="paragraph" w:styleId="Pieddepage">
    <w:name w:val="footer"/>
    <w:basedOn w:val="Normal"/>
    <w:link w:val="PieddepageCar"/>
    <w:uiPriority w:val="99"/>
    <w:unhideWhenUsed/>
    <w:rsid w:val="00B57F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7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320</Words>
  <Characters>1764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Ismaïl MAMA ZAKARI</dc:creator>
  <cp:keywords/>
  <dc:description/>
  <cp:lastModifiedBy>Abdoul Aziz  ADEBI</cp:lastModifiedBy>
  <cp:revision>7</cp:revision>
  <dcterms:created xsi:type="dcterms:W3CDTF">2025-04-29T09:50:00Z</dcterms:created>
  <dcterms:modified xsi:type="dcterms:W3CDTF">2025-04-29T20:58:00Z</dcterms:modified>
</cp:coreProperties>
</file>