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72A6" w14:textId="77777777" w:rsidR="008710D5" w:rsidRPr="003C6865" w:rsidRDefault="00582386" w:rsidP="00811DDE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color w:val="C00000"/>
          <w:sz w:val="24"/>
          <w:szCs w:val="24"/>
          <w:lang w:eastAsia="fr-FR"/>
        </w:rPr>
      </w:pPr>
      <w:bookmarkStart w:id="0" w:name="_Hlk197878518"/>
      <w:r w:rsidRPr="003C6865">
        <w:rPr>
          <w:rFonts w:ascii="Century" w:eastAsia="Calibri" w:hAnsi="Century"/>
          <w:noProof/>
          <w:color w:val="C00000"/>
          <w:lang w:eastAsia="fr-FR"/>
        </w:rPr>
        <w:drawing>
          <wp:inline distT="0" distB="0" distL="0" distR="0" wp14:anchorId="465C690E" wp14:editId="623724F6">
            <wp:extent cx="5730240" cy="1076325"/>
            <wp:effectExtent l="0" t="0" r="3810" b="0"/>
            <wp:docPr id="167404356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7264305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F4092C" w14:textId="77777777" w:rsidR="008710D5" w:rsidRPr="009D5E2B" w:rsidRDefault="008710D5" w:rsidP="00811DDE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E109FAC" w14:textId="77777777" w:rsidR="008710D5" w:rsidRPr="009D5E2B" w:rsidRDefault="008710D5" w:rsidP="00811DDE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ECA5648" w14:textId="77777777" w:rsidR="00993224" w:rsidRPr="009D5E2B" w:rsidRDefault="00993224" w:rsidP="00811DDE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35D0F54" w14:textId="77777777" w:rsidR="00993224" w:rsidRPr="009D5E2B" w:rsidRDefault="00993224" w:rsidP="00811DDE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1421D712" w14:textId="77777777" w:rsidR="00A71807" w:rsidRPr="009D5E2B" w:rsidRDefault="00A71807" w:rsidP="00811DDE">
      <w:pPr>
        <w:pBdr>
          <w:bottom w:val="single" w:sz="4" w:space="1" w:color="auto"/>
        </w:pBdr>
        <w:spacing w:before="100" w:beforeAutospacing="1" w:after="100" w:afterAutospacing="1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714480F0" w14:textId="77777777" w:rsidR="00256F8C" w:rsidRPr="009D5E2B" w:rsidRDefault="00256F8C" w:rsidP="00464A26">
      <w:pPr>
        <w:pBdr>
          <w:bottom w:val="single" w:sz="4" w:space="1" w:color="auto"/>
        </w:pBdr>
        <w:spacing w:before="100" w:beforeAutospacing="1" w:after="100" w:afterAutospacing="1" w:line="36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D5E2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SYNTHESE DU PLAN STRATEGIQUE DE MOBILISATION DES RESSOURCES DE LA COMMUNE DE </w:t>
      </w:r>
      <w:r w:rsidR="00582386" w:rsidRPr="009D5E2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COPARGO</w:t>
      </w:r>
      <w:r w:rsidRPr="009D5E2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(2024-2026)</w:t>
      </w:r>
    </w:p>
    <w:p w14:paraId="6C136840" w14:textId="1547B68E" w:rsidR="00FE0F20" w:rsidRPr="009D5E2B" w:rsidRDefault="00FE0F20" w:rsidP="00993224">
      <w:pPr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3F936333" w14:textId="77777777" w:rsidR="00FE0F20" w:rsidRPr="009D5E2B" w:rsidRDefault="00FE0F20" w:rsidP="00FE0F2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1451706D" w14:textId="77777777" w:rsidR="00FE0F20" w:rsidRPr="009D5E2B" w:rsidRDefault="00FE0F20" w:rsidP="00FE0F2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1352B15C" w14:textId="77777777" w:rsidR="00FE0F20" w:rsidRPr="009D5E2B" w:rsidRDefault="00FE0F20" w:rsidP="00FE0F2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666ACCE5" w14:textId="77777777" w:rsidR="00FE0F20" w:rsidRPr="009D5E2B" w:rsidRDefault="00FE0F20" w:rsidP="00FE0F2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2A43490E" w14:textId="77777777" w:rsidR="00FE0F20" w:rsidRPr="009D5E2B" w:rsidRDefault="00FE0F20" w:rsidP="00FE0F2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72566C15" w14:textId="77777777" w:rsidR="00FE0F20" w:rsidRPr="009D5E2B" w:rsidRDefault="00FE0F20" w:rsidP="00FE0F20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73F2B491" w14:textId="77777777" w:rsidR="00C7748E" w:rsidRDefault="00C7748E" w:rsidP="00C7748E">
      <w:pPr>
        <w:spacing w:after="0" w:line="36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7B893A0" w14:textId="77777777" w:rsidR="00C7748E" w:rsidRDefault="00C7748E" w:rsidP="00C7748E">
      <w:pPr>
        <w:spacing w:after="0" w:line="36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30EC60AE" w14:textId="77777777" w:rsidR="00C7748E" w:rsidRDefault="00C7748E" w:rsidP="00C7748E">
      <w:pPr>
        <w:spacing w:after="0" w:line="360" w:lineRule="auto"/>
        <w:outlineLvl w:val="2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868A4F8" w14:textId="77777777" w:rsidR="00C7748E" w:rsidRDefault="00C7748E" w:rsidP="00C7748E">
      <w:pPr>
        <w:spacing w:after="0" w:line="360" w:lineRule="auto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41061882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21E71A8E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lang w:eastAsia="fr-FR"/>
        </w:rPr>
        <w:t xml:space="preserve">                    </w:t>
      </w:r>
      <w:r w:rsidRPr="00C7748E">
        <w:rPr>
          <w:rFonts w:ascii="Arial" w:eastAsia="Times New Roman" w:hAnsi="Arial" w:cs="Arial"/>
          <w:b/>
          <w:bCs/>
          <w:i/>
          <w:iCs/>
          <w:lang w:eastAsia="fr-FR"/>
        </w:rPr>
        <w:t>REALISE AVEC LE SOUTIEN TECHNIQUE ET FINANCIER DE :</w:t>
      </w:r>
    </w:p>
    <w:p w14:paraId="39F27F92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C7748E">
        <w:rPr>
          <w:rFonts w:ascii="Arial" w:eastAsia="Times New Roman" w:hAnsi="Arial" w:cs="Arial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0" allowOverlap="1" wp14:anchorId="2FEF3EFF" wp14:editId="04D37CEA">
            <wp:simplePos x="0" y="0"/>
            <wp:positionH relativeFrom="page">
              <wp:posOffset>4046220</wp:posOffset>
            </wp:positionH>
            <wp:positionV relativeFrom="paragraph">
              <wp:posOffset>71755</wp:posOffset>
            </wp:positionV>
            <wp:extent cx="1351915" cy="640080"/>
            <wp:effectExtent l="0" t="0" r="635" b="7620"/>
            <wp:wrapSquare wrapText="bothSides"/>
            <wp:docPr id="882333999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8779460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748E">
        <w:rPr>
          <w:rFonts w:ascii="Arial" w:eastAsia="Times New Roman" w:hAnsi="Arial" w:cs="Arial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166D3AB6" wp14:editId="777214F5">
            <wp:simplePos x="0" y="0"/>
            <wp:positionH relativeFrom="column">
              <wp:posOffset>1691005</wp:posOffset>
            </wp:positionH>
            <wp:positionV relativeFrom="paragraph">
              <wp:posOffset>71755</wp:posOffset>
            </wp:positionV>
            <wp:extent cx="768985" cy="777875"/>
            <wp:effectExtent l="0" t="0" r="0" b="3175"/>
            <wp:wrapSquare wrapText="bothSides"/>
            <wp:docPr id="96421823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516453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14D08B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491296E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94D6B58" w14:textId="77777777" w:rsidR="00FC272B" w:rsidRPr="009D5E2B" w:rsidRDefault="00C93739" w:rsidP="00FC272B">
      <w:pPr>
        <w:spacing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9D5E2B">
        <w:rPr>
          <w:rFonts w:ascii="Arial" w:eastAsia="Times New Roman" w:hAnsi="Arial" w:cs="Arial"/>
          <w:sz w:val="24"/>
          <w:szCs w:val="24"/>
          <w:lang w:eastAsia="fr-FR"/>
        </w:rPr>
        <w:br w:type="page"/>
      </w:r>
      <w:r w:rsidR="00FC272B" w:rsidRPr="009D5E2B">
        <w:rPr>
          <w:rFonts w:ascii="Arial" w:hAnsi="Arial" w:cs="Arial"/>
          <w:b/>
          <w:sz w:val="24"/>
          <w:szCs w:val="24"/>
        </w:rPr>
        <w:lastRenderedPageBreak/>
        <w:t>A – DIAGNOSTIC &amp; POTENTIEL</w:t>
      </w:r>
    </w:p>
    <w:p w14:paraId="0A1BF04E" w14:textId="77777777" w:rsidR="00FC272B" w:rsidRPr="009D5E2B" w:rsidRDefault="00FC272B" w:rsidP="00FB0A5B">
      <w:pPr>
        <w:pStyle w:val="Titre2"/>
        <w:numPr>
          <w:ilvl w:val="0"/>
          <w:numId w:val="20"/>
        </w:numPr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9D5E2B">
        <w:rPr>
          <w:rFonts w:ascii="Arial" w:hAnsi="Arial" w:cs="Arial"/>
          <w:sz w:val="24"/>
          <w:szCs w:val="24"/>
        </w:rPr>
        <w:t>Contexte, objectifs et démarche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3C6865" w:rsidRPr="00FB0A5B" w14:paraId="3706D3FF" w14:textId="77777777" w:rsidTr="001C2B0C">
        <w:trPr>
          <w:trHeight w:val="589"/>
        </w:trPr>
        <w:tc>
          <w:tcPr>
            <w:tcW w:w="2547" w:type="dxa"/>
            <w:shd w:val="clear" w:color="auto" w:fill="FFE599" w:themeFill="accent4" w:themeFillTint="66"/>
            <w:vAlign w:val="center"/>
          </w:tcPr>
          <w:p w14:paraId="6CDE91F0" w14:textId="77777777" w:rsidR="00FC272B" w:rsidRPr="00FB0A5B" w:rsidRDefault="00FC272B" w:rsidP="00FB0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Fonts w:ascii="Arial" w:hAnsi="Arial" w:cs="Arial"/>
                <w:b/>
                <w:bCs/>
              </w:rPr>
              <w:t>Élément</w:t>
            </w:r>
          </w:p>
        </w:tc>
        <w:tc>
          <w:tcPr>
            <w:tcW w:w="6662" w:type="dxa"/>
            <w:shd w:val="clear" w:color="auto" w:fill="FFE599" w:themeFill="accent4" w:themeFillTint="66"/>
            <w:vAlign w:val="center"/>
          </w:tcPr>
          <w:p w14:paraId="31918778" w14:textId="77777777" w:rsidR="00FC272B" w:rsidRPr="00FB0A5B" w:rsidRDefault="00FC272B" w:rsidP="00FB0A5B">
            <w:pPr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Fonts w:ascii="Arial" w:hAnsi="Arial" w:cs="Arial"/>
                <w:b/>
                <w:bCs/>
              </w:rPr>
              <w:t>Contenu</w:t>
            </w:r>
          </w:p>
        </w:tc>
      </w:tr>
      <w:tr w:rsidR="003C6865" w:rsidRPr="00FB0A5B" w14:paraId="54A7541C" w14:textId="77777777" w:rsidTr="001C2B0C">
        <w:tc>
          <w:tcPr>
            <w:tcW w:w="2547" w:type="dxa"/>
            <w:vAlign w:val="center"/>
          </w:tcPr>
          <w:p w14:paraId="1BFFA977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Justification</w:t>
            </w:r>
          </w:p>
        </w:tc>
        <w:tc>
          <w:tcPr>
            <w:tcW w:w="6662" w:type="dxa"/>
            <w:vAlign w:val="center"/>
          </w:tcPr>
          <w:p w14:paraId="3A150D2D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Faible mobilisation des ressources locales (29,4 % du potentiel fiscal et 45,3 % du potentiel non fiscal mobilisés en moyenne entre 2020–2023), forte dépendance au FADEC (74 % des recettes de fonctionnement), déséquilibre RF/RNF (33 % / 67 %).</w:t>
            </w:r>
          </w:p>
        </w:tc>
      </w:tr>
      <w:tr w:rsidR="003C6865" w:rsidRPr="00FB0A5B" w14:paraId="600F8972" w14:textId="77777777" w:rsidTr="001C2B0C">
        <w:tc>
          <w:tcPr>
            <w:tcW w:w="2547" w:type="dxa"/>
            <w:vAlign w:val="center"/>
          </w:tcPr>
          <w:p w14:paraId="32528B11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Objectif général</w:t>
            </w:r>
          </w:p>
        </w:tc>
        <w:tc>
          <w:tcPr>
            <w:tcW w:w="6662" w:type="dxa"/>
            <w:vAlign w:val="center"/>
          </w:tcPr>
          <w:p w14:paraId="23ADDD4D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Optimiser la mobilisation des recettes propres pour renforcer l’autonomie financière et la capacité d’action de la commune.</w:t>
            </w:r>
          </w:p>
        </w:tc>
      </w:tr>
      <w:tr w:rsidR="003C6865" w:rsidRPr="00FB0A5B" w14:paraId="103A3BF6" w14:textId="77777777" w:rsidTr="001C2B0C">
        <w:tc>
          <w:tcPr>
            <w:tcW w:w="2547" w:type="dxa"/>
            <w:vAlign w:val="center"/>
          </w:tcPr>
          <w:p w14:paraId="4F18B647" w14:textId="77777777" w:rsidR="00FC272B" w:rsidRPr="00FB0A5B" w:rsidRDefault="00FC272B" w:rsidP="00FB0A5B">
            <w:pPr>
              <w:spacing w:line="276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Objectifs spécifiques</w:t>
            </w:r>
          </w:p>
        </w:tc>
        <w:tc>
          <w:tcPr>
            <w:tcW w:w="6662" w:type="dxa"/>
            <w:vAlign w:val="center"/>
          </w:tcPr>
          <w:p w14:paraId="02158FC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Maîtriser les assiettes fiscales et non fiscales, renforcer la gouvernance et la coordination entre les acteurs, moderniser les outils et processus de recouvrement.</w:t>
            </w:r>
          </w:p>
        </w:tc>
      </w:tr>
      <w:tr w:rsidR="003C6865" w:rsidRPr="00FB0A5B" w14:paraId="670417F3" w14:textId="77777777" w:rsidTr="001C2B0C">
        <w:tc>
          <w:tcPr>
            <w:tcW w:w="2547" w:type="dxa"/>
            <w:vAlign w:val="center"/>
          </w:tcPr>
          <w:p w14:paraId="251AFE59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Acteurs impliqués</w:t>
            </w:r>
          </w:p>
        </w:tc>
        <w:tc>
          <w:tcPr>
            <w:tcW w:w="6662" w:type="dxa"/>
            <w:vAlign w:val="center"/>
          </w:tcPr>
          <w:p w14:paraId="179C6CBC" w14:textId="77777777" w:rsidR="00FC272B" w:rsidRPr="00FB0A5B" w:rsidRDefault="009D5E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 xml:space="preserve">Mairie, ACAD, </w:t>
            </w:r>
            <w:r w:rsidR="00FC272B" w:rsidRPr="00FB0A5B">
              <w:rPr>
                <w:rFonts w:ascii="Arial" w:hAnsi="Arial" w:cs="Arial"/>
              </w:rPr>
              <w:t>AGORA, CIPE Djougou, SE, RAAF, élus, syndicats, chefs d’arrondissement, services déconcentrés, collecteurs, comités de gestion.</w:t>
            </w:r>
          </w:p>
        </w:tc>
      </w:tr>
      <w:tr w:rsidR="003C6865" w:rsidRPr="00FB0A5B" w14:paraId="12F27C21" w14:textId="77777777" w:rsidTr="001C2B0C">
        <w:tc>
          <w:tcPr>
            <w:tcW w:w="2547" w:type="dxa"/>
            <w:vAlign w:val="center"/>
          </w:tcPr>
          <w:p w14:paraId="2317B333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Méthodologie</w:t>
            </w:r>
          </w:p>
        </w:tc>
        <w:tc>
          <w:tcPr>
            <w:tcW w:w="6662" w:type="dxa"/>
            <w:vAlign w:val="center"/>
          </w:tcPr>
          <w:p w14:paraId="5F4270E9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1. Diagnostic participatif (EGF 2024, FFOM, CA 2020–2023)</w:t>
            </w:r>
            <w:r w:rsidRPr="00FB0A5B">
              <w:rPr>
                <w:rFonts w:ascii="Arial" w:hAnsi="Arial" w:cs="Arial"/>
              </w:rPr>
              <w:br/>
              <w:t>2. Programmation stratégique sur 3 ans</w:t>
            </w:r>
            <w:r w:rsidRPr="00FB0A5B">
              <w:rPr>
                <w:rFonts w:ascii="Arial" w:hAnsi="Arial" w:cs="Arial"/>
              </w:rPr>
              <w:br/>
              <w:t>3. Modélisation du dispositif de mise en œuvre (SSRM, TAR, comités).</w:t>
            </w:r>
          </w:p>
        </w:tc>
      </w:tr>
    </w:tbl>
    <w:p w14:paraId="7B90BD86" w14:textId="6AFDE62D" w:rsidR="00FC272B" w:rsidRDefault="00FC272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mai 2024, chapitres 1.1 à 1.3</w:t>
      </w:r>
    </w:p>
    <w:p w14:paraId="699EBD86" w14:textId="77777777" w:rsidR="00FB0A5B" w:rsidRPr="00FB0A5B" w:rsidRDefault="00FB0A5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7AC3BF14" w14:textId="77777777" w:rsidR="00FC272B" w:rsidRPr="00FB0A5B" w:rsidRDefault="00FC272B" w:rsidP="00FB0A5B">
      <w:pPr>
        <w:pStyle w:val="Titre2"/>
        <w:numPr>
          <w:ilvl w:val="0"/>
          <w:numId w:val="20"/>
        </w:numPr>
        <w:spacing w:before="0" w:beforeAutospacing="0" w:after="0" w:afterAutospacing="0" w:line="360" w:lineRule="auto"/>
        <w:rPr>
          <w:rFonts w:ascii="Arial" w:hAnsi="Arial" w:cs="Arial"/>
          <w:sz w:val="18"/>
          <w:szCs w:val="20"/>
        </w:rPr>
      </w:pPr>
      <w:r w:rsidRPr="00FB0A5B">
        <w:rPr>
          <w:rFonts w:ascii="Arial" w:hAnsi="Arial" w:cs="Arial"/>
          <w:sz w:val="24"/>
          <w:szCs w:val="28"/>
        </w:rPr>
        <w:t>Profil économique et potentiel mobilisable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C6865" w:rsidRPr="00FB0A5B" w14:paraId="64ACCE05" w14:textId="77777777" w:rsidTr="001C2B0C">
        <w:tc>
          <w:tcPr>
            <w:tcW w:w="2547" w:type="dxa"/>
            <w:shd w:val="clear" w:color="auto" w:fill="FFE599" w:themeFill="accent4" w:themeFillTint="66"/>
            <w:vAlign w:val="center"/>
          </w:tcPr>
          <w:p w14:paraId="428656C7" w14:textId="77777777" w:rsidR="00FC272B" w:rsidRPr="00FB0A5B" w:rsidRDefault="00FC272B" w:rsidP="00FB0A5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Style w:val="lev"/>
                <w:rFonts w:ascii="Arial" w:hAnsi="Arial" w:cs="Arial"/>
              </w:rPr>
              <w:t>Élément</w:t>
            </w:r>
          </w:p>
        </w:tc>
        <w:tc>
          <w:tcPr>
            <w:tcW w:w="6515" w:type="dxa"/>
            <w:shd w:val="clear" w:color="auto" w:fill="FFE599" w:themeFill="accent4" w:themeFillTint="66"/>
            <w:vAlign w:val="center"/>
          </w:tcPr>
          <w:p w14:paraId="36BBFB84" w14:textId="77777777" w:rsidR="00FC272B" w:rsidRPr="00FB0A5B" w:rsidRDefault="00FC272B" w:rsidP="00FB0A5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Style w:val="lev"/>
                <w:rFonts w:ascii="Arial" w:hAnsi="Arial" w:cs="Arial"/>
              </w:rPr>
              <w:t>Détail</w:t>
            </w:r>
          </w:p>
        </w:tc>
      </w:tr>
      <w:tr w:rsidR="003C6865" w:rsidRPr="00FB0A5B" w14:paraId="71F5500F" w14:textId="77777777" w:rsidTr="001C2B0C">
        <w:tc>
          <w:tcPr>
            <w:tcW w:w="2547" w:type="dxa"/>
            <w:vAlign w:val="center"/>
          </w:tcPr>
          <w:p w14:paraId="54687234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Données démographiques</w:t>
            </w:r>
          </w:p>
        </w:tc>
        <w:tc>
          <w:tcPr>
            <w:tcW w:w="6515" w:type="dxa"/>
            <w:vAlign w:val="center"/>
          </w:tcPr>
          <w:p w14:paraId="45F20D4E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Population : 70 938 habitants (49,89 % de femmes)</w:t>
            </w:r>
            <w:r w:rsidRPr="00FB0A5B">
              <w:rPr>
                <w:rFonts w:ascii="Arial" w:hAnsi="Arial" w:cs="Arial"/>
              </w:rPr>
              <w:br/>
              <w:t>Population active : 42,34 %</w:t>
            </w:r>
          </w:p>
        </w:tc>
      </w:tr>
      <w:tr w:rsidR="003C6865" w:rsidRPr="00FB0A5B" w14:paraId="5DD5562B" w14:textId="77777777" w:rsidTr="001C2B0C">
        <w:tc>
          <w:tcPr>
            <w:tcW w:w="2547" w:type="dxa"/>
            <w:vAlign w:val="center"/>
          </w:tcPr>
          <w:p w14:paraId="6B0D50C6" w14:textId="77777777" w:rsidR="00FC272B" w:rsidRPr="00FB0A5B" w:rsidRDefault="00FC272B" w:rsidP="00FB0A5B">
            <w:pPr>
              <w:spacing w:line="276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Activités principales</w:t>
            </w:r>
          </w:p>
        </w:tc>
        <w:tc>
          <w:tcPr>
            <w:tcW w:w="6515" w:type="dxa"/>
            <w:vAlign w:val="center"/>
          </w:tcPr>
          <w:p w14:paraId="78E0A98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Agriculture (igname, maïs), élevage, commerce, artisanat, exploitation minière</w:t>
            </w:r>
          </w:p>
        </w:tc>
      </w:tr>
      <w:tr w:rsidR="003C6865" w:rsidRPr="00FB0A5B" w14:paraId="0681AB0B" w14:textId="77777777" w:rsidTr="001C2B0C">
        <w:tc>
          <w:tcPr>
            <w:tcW w:w="2547" w:type="dxa"/>
            <w:vAlign w:val="center"/>
          </w:tcPr>
          <w:p w14:paraId="5C57A8A1" w14:textId="77777777" w:rsidR="00FC272B" w:rsidRPr="00FB0A5B" w:rsidRDefault="00FC272B" w:rsidP="00FB0A5B">
            <w:pPr>
              <w:spacing w:line="276" w:lineRule="auto"/>
              <w:rPr>
                <w:rFonts w:ascii="Arial" w:hAnsi="Arial" w:cs="Arial"/>
              </w:rPr>
            </w:pPr>
            <w:r w:rsidRPr="00FB0A5B">
              <w:rPr>
                <w:rStyle w:val="lev"/>
                <w:rFonts w:ascii="Arial" w:hAnsi="Arial" w:cs="Arial"/>
              </w:rPr>
              <w:t>Atouts économiques</w:t>
            </w:r>
          </w:p>
        </w:tc>
        <w:tc>
          <w:tcPr>
            <w:tcW w:w="6515" w:type="dxa"/>
            <w:vAlign w:val="center"/>
          </w:tcPr>
          <w:p w14:paraId="29ED0FBE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Source du fleuve Ouémé (</w:t>
            </w:r>
            <w:proofErr w:type="spellStart"/>
            <w:r w:rsidRPr="00FB0A5B">
              <w:rPr>
                <w:rFonts w:ascii="Arial" w:hAnsi="Arial" w:cs="Arial"/>
              </w:rPr>
              <w:t>Tanéka-Béri</w:t>
            </w:r>
            <w:proofErr w:type="spellEnd"/>
            <w:r w:rsidRPr="00FB0A5B">
              <w:rPr>
                <w:rFonts w:ascii="Arial" w:hAnsi="Arial" w:cs="Arial"/>
              </w:rPr>
              <w:t>), gisements miniers (sable, granite, latérite), zones rizicoles, marchés ordinaires actifs</w:t>
            </w:r>
          </w:p>
        </w:tc>
      </w:tr>
    </w:tbl>
    <w:p w14:paraId="63D437B1" w14:textId="77777777" w:rsidR="00FB0A5B" w:rsidRPr="009D5E2B" w:rsidRDefault="00FB0A5B" w:rsidP="00FB0A5B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415952C" w14:textId="75FB763E" w:rsidR="00D54227" w:rsidRPr="00FB0A5B" w:rsidRDefault="00D54227" w:rsidP="00FB0A5B">
      <w:pPr>
        <w:pStyle w:val="Paragraphedeliste"/>
        <w:numPr>
          <w:ilvl w:val="0"/>
          <w:numId w:val="23"/>
        </w:num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FB0A5B">
        <w:rPr>
          <w:rFonts w:ascii="Arial" w:eastAsia="Times New Roman" w:hAnsi="Arial" w:cs="Arial"/>
          <w:b/>
          <w:bCs/>
          <w:sz w:val="24"/>
          <w:szCs w:val="24"/>
          <w:u w:val="single"/>
          <w:lang w:eastAsia="fr-FR"/>
        </w:rPr>
        <w:t>Comparaison entre réalisations de 2023 et potentiel</w:t>
      </w:r>
      <w:r w:rsidRPr="00FB0A5B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2410"/>
      </w:tblGrid>
      <w:tr w:rsidR="003C6865" w:rsidRPr="009D5E2B" w14:paraId="51414197" w14:textId="77777777" w:rsidTr="001C2B0C">
        <w:trPr>
          <w:trHeight w:val="708"/>
        </w:trPr>
        <w:tc>
          <w:tcPr>
            <w:tcW w:w="2122" w:type="dxa"/>
            <w:shd w:val="clear" w:color="auto" w:fill="E2EFD9" w:themeFill="accent6" w:themeFillTint="33"/>
            <w:vAlign w:val="center"/>
          </w:tcPr>
          <w:p w14:paraId="0B089DD7" w14:textId="77777777" w:rsidR="00D54227" w:rsidRPr="009D5E2B" w:rsidRDefault="00D54227" w:rsidP="00FB0A5B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Type de recette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14:paraId="649C0750" w14:textId="77777777" w:rsidR="00D54227" w:rsidRPr="009D5E2B" w:rsidRDefault="00D54227" w:rsidP="00FB0A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Réalisation 2023</w:t>
            </w:r>
            <w:r w:rsidRPr="009D5E2B">
              <w:t xml:space="preserve"> </w:t>
            </w:r>
            <w:r w:rsidRPr="009D5E2B">
              <w:rPr>
                <w:rFonts w:ascii="Arial" w:eastAsia="Times New Roman" w:hAnsi="Arial" w:cs="Arial"/>
                <w:szCs w:val="24"/>
                <w:lang w:eastAsia="fr-FR"/>
              </w:rPr>
              <w:t>en Million de FCFA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50D16978" w14:textId="77777777" w:rsidR="00D54227" w:rsidRPr="009D5E2B" w:rsidRDefault="00D54227" w:rsidP="00FB0A5B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Potentiel estimé</w:t>
            </w:r>
          </w:p>
          <w:p w14:paraId="0CC7FF88" w14:textId="77777777" w:rsidR="00D54227" w:rsidRPr="009D5E2B" w:rsidRDefault="00D54227" w:rsidP="00FB0A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proofErr w:type="gramStart"/>
            <w:r w:rsidRPr="009D5E2B">
              <w:rPr>
                <w:rFonts w:ascii="Arial" w:eastAsia="Times New Roman" w:hAnsi="Arial" w:cs="Arial"/>
                <w:szCs w:val="24"/>
                <w:lang w:eastAsia="fr-FR"/>
              </w:rPr>
              <w:t>en</w:t>
            </w:r>
            <w:proofErr w:type="gramEnd"/>
            <w:r w:rsidRPr="009D5E2B">
              <w:rPr>
                <w:rFonts w:ascii="Arial" w:eastAsia="Times New Roman" w:hAnsi="Arial" w:cs="Arial"/>
                <w:szCs w:val="24"/>
                <w:lang w:eastAsia="fr-FR"/>
              </w:rPr>
              <w:t xml:space="preserve"> Million de FCFA</w:t>
            </w:r>
          </w:p>
        </w:tc>
        <w:tc>
          <w:tcPr>
            <w:tcW w:w="2410" w:type="dxa"/>
            <w:shd w:val="clear" w:color="auto" w:fill="E2EFD9" w:themeFill="accent6" w:themeFillTint="33"/>
            <w:vAlign w:val="center"/>
          </w:tcPr>
          <w:p w14:paraId="6FA2BD33" w14:textId="77777777" w:rsidR="00D54227" w:rsidRPr="009D5E2B" w:rsidRDefault="00D54227" w:rsidP="00FB0A5B">
            <w:pPr>
              <w:spacing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sz w:val="24"/>
                <w:szCs w:val="24"/>
                <w:lang w:eastAsia="fr-FR"/>
              </w:rPr>
              <w:t>Taux mobilisation</w:t>
            </w:r>
          </w:p>
        </w:tc>
      </w:tr>
      <w:tr w:rsidR="003C6865" w:rsidRPr="009D5E2B" w14:paraId="11EABFA8" w14:textId="77777777" w:rsidTr="001C2B0C">
        <w:trPr>
          <w:trHeight w:val="419"/>
        </w:trPr>
        <w:tc>
          <w:tcPr>
            <w:tcW w:w="2122" w:type="dxa"/>
            <w:vAlign w:val="center"/>
          </w:tcPr>
          <w:p w14:paraId="4F7E25A1" w14:textId="77777777" w:rsidR="00D54227" w:rsidRPr="009D5E2B" w:rsidRDefault="00D54227" w:rsidP="00FB0A5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RF</w:t>
            </w:r>
          </w:p>
        </w:tc>
        <w:tc>
          <w:tcPr>
            <w:tcW w:w="2409" w:type="dxa"/>
            <w:vAlign w:val="center"/>
          </w:tcPr>
          <w:p w14:paraId="35768148" w14:textId="77777777" w:rsidR="00D54227" w:rsidRPr="009D5E2B" w:rsidRDefault="00D54227" w:rsidP="00FB0A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10,927</w:t>
            </w:r>
          </w:p>
        </w:tc>
        <w:tc>
          <w:tcPr>
            <w:tcW w:w="2410" w:type="dxa"/>
            <w:vAlign w:val="center"/>
          </w:tcPr>
          <w:p w14:paraId="1E4A814C" w14:textId="77777777" w:rsidR="00D54227" w:rsidRPr="009D5E2B" w:rsidRDefault="00D54227" w:rsidP="00FB0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40,305</w:t>
            </w:r>
          </w:p>
        </w:tc>
        <w:tc>
          <w:tcPr>
            <w:tcW w:w="2410" w:type="dxa"/>
            <w:vAlign w:val="center"/>
          </w:tcPr>
          <w:p w14:paraId="2B4F07CB" w14:textId="77777777" w:rsidR="00D54227" w:rsidRPr="009D5E2B" w:rsidRDefault="00934116" w:rsidP="00FB0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5E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27,111</w:t>
            </w:r>
            <w:r w:rsidR="00D54227" w:rsidRPr="009D5E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 %</w:t>
            </w:r>
          </w:p>
        </w:tc>
      </w:tr>
      <w:tr w:rsidR="003C6865" w:rsidRPr="009D5E2B" w14:paraId="44E370C7" w14:textId="77777777" w:rsidTr="001C2B0C">
        <w:trPr>
          <w:trHeight w:val="426"/>
        </w:trPr>
        <w:tc>
          <w:tcPr>
            <w:tcW w:w="2122" w:type="dxa"/>
            <w:vAlign w:val="center"/>
          </w:tcPr>
          <w:p w14:paraId="75C73964" w14:textId="77777777" w:rsidR="00D54227" w:rsidRPr="009D5E2B" w:rsidRDefault="00D54227" w:rsidP="00FB0A5B">
            <w:pPr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RNF</w:t>
            </w:r>
          </w:p>
        </w:tc>
        <w:tc>
          <w:tcPr>
            <w:tcW w:w="2409" w:type="dxa"/>
            <w:vAlign w:val="center"/>
          </w:tcPr>
          <w:p w14:paraId="76F1955B" w14:textId="77777777" w:rsidR="00D54227" w:rsidRPr="009D5E2B" w:rsidRDefault="00934116" w:rsidP="00FB0A5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35,628</w:t>
            </w:r>
          </w:p>
        </w:tc>
        <w:tc>
          <w:tcPr>
            <w:tcW w:w="2410" w:type="dxa"/>
            <w:vAlign w:val="center"/>
          </w:tcPr>
          <w:p w14:paraId="2CFBB0C8" w14:textId="77777777" w:rsidR="00D54227" w:rsidRPr="009D5E2B" w:rsidRDefault="00D54227" w:rsidP="00FB0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78,884F</w:t>
            </w:r>
          </w:p>
        </w:tc>
        <w:tc>
          <w:tcPr>
            <w:tcW w:w="2410" w:type="dxa"/>
            <w:vAlign w:val="center"/>
          </w:tcPr>
          <w:p w14:paraId="4EB9B1B6" w14:textId="77777777" w:rsidR="00D54227" w:rsidRPr="009D5E2B" w:rsidRDefault="00934116" w:rsidP="00FB0A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5E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45,165 %</w:t>
            </w:r>
          </w:p>
        </w:tc>
      </w:tr>
    </w:tbl>
    <w:p w14:paraId="646A5E14" w14:textId="77777777" w:rsidR="00FC272B" w:rsidRPr="00FB0A5B" w:rsidRDefault="00FC272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2024, tableaux 1, 2, 5 et 9</w:t>
      </w:r>
    </w:p>
    <w:p w14:paraId="7AD6F320" w14:textId="28A1EDF3" w:rsidR="00FB0A5B" w:rsidRPr="00FB0A5B" w:rsidRDefault="00FC272B" w:rsidP="00FB0A5B">
      <w:pPr>
        <w:pStyle w:val="Titre2"/>
        <w:numPr>
          <w:ilvl w:val="0"/>
          <w:numId w:val="20"/>
        </w:numPr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FB0A5B">
        <w:rPr>
          <w:rFonts w:ascii="Arial" w:hAnsi="Arial" w:cs="Arial"/>
          <w:sz w:val="22"/>
          <w:szCs w:val="22"/>
        </w:rPr>
        <w:lastRenderedPageBreak/>
        <w:t xml:space="preserve">État des recettes communales (2020–2023)  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2122"/>
        <w:gridCol w:w="2551"/>
        <w:gridCol w:w="2268"/>
        <w:gridCol w:w="2410"/>
      </w:tblGrid>
      <w:tr w:rsidR="003C6865" w:rsidRPr="00FB0A5B" w14:paraId="0BAFCA33" w14:textId="77777777" w:rsidTr="00FE5CE2">
        <w:tc>
          <w:tcPr>
            <w:tcW w:w="2122" w:type="dxa"/>
            <w:shd w:val="clear" w:color="auto" w:fill="FFE599" w:themeFill="accent4" w:themeFillTint="66"/>
            <w:vAlign w:val="center"/>
          </w:tcPr>
          <w:p w14:paraId="4201BD89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B0A5B">
              <w:rPr>
                <w:rFonts w:ascii="Arial" w:eastAsia="Times New Roman" w:hAnsi="Arial" w:cs="Arial"/>
                <w:b/>
                <w:bCs/>
                <w:lang w:eastAsia="fr-FR"/>
              </w:rPr>
              <w:t>Année</w:t>
            </w:r>
          </w:p>
        </w:tc>
        <w:tc>
          <w:tcPr>
            <w:tcW w:w="2551" w:type="dxa"/>
            <w:shd w:val="clear" w:color="auto" w:fill="FFE599" w:themeFill="accent4" w:themeFillTint="66"/>
            <w:vAlign w:val="center"/>
          </w:tcPr>
          <w:p w14:paraId="57D1140C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B0A5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Recettes fiscales (RF), </w:t>
            </w:r>
            <w:r w:rsidRPr="00FB0A5B">
              <w:rPr>
                <w:rFonts w:ascii="Arial" w:hAnsi="Arial" w:cs="Arial"/>
                <w:i/>
              </w:rPr>
              <w:t>en</w:t>
            </w:r>
            <w:r w:rsidRPr="00FB0A5B">
              <w:rPr>
                <w:rFonts w:ascii="Arial" w:hAnsi="Arial" w:cs="Arial"/>
                <w:b/>
                <w:i/>
              </w:rPr>
              <w:t xml:space="preserve"> </w:t>
            </w:r>
            <w:r w:rsidRPr="00FB0A5B">
              <w:rPr>
                <w:rStyle w:val="lev"/>
                <w:rFonts w:ascii="Arial" w:hAnsi="Arial" w:cs="Arial"/>
                <w:b w:val="0"/>
                <w:i/>
              </w:rPr>
              <w:t>millions de FCFA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0AFB040D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B0A5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Recettes non fiscales (RNF), </w:t>
            </w:r>
            <w:r w:rsidRPr="00FB0A5B">
              <w:rPr>
                <w:rFonts w:ascii="Arial" w:hAnsi="Arial" w:cs="Arial"/>
                <w:i/>
              </w:rPr>
              <w:t>en</w:t>
            </w:r>
            <w:r w:rsidRPr="00FB0A5B">
              <w:rPr>
                <w:rFonts w:ascii="Arial" w:hAnsi="Arial" w:cs="Arial"/>
                <w:b/>
                <w:i/>
              </w:rPr>
              <w:t xml:space="preserve"> </w:t>
            </w:r>
            <w:r w:rsidRPr="00FB0A5B">
              <w:rPr>
                <w:rStyle w:val="lev"/>
                <w:rFonts w:ascii="Arial" w:hAnsi="Arial" w:cs="Arial"/>
                <w:b w:val="0"/>
                <w:i/>
              </w:rPr>
              <w:t>millions de FCFA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14:paraId="5AD72B95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B0A5B">
              <w:rPr>
                <w:rFonts w:ascii="Arial" w:eastAsia="Times New Roman" w:hAnsi="Arial" w:cs="Arial"/>
                <w:b/>
                <w:bCs/>
                <w:lang w:eastAsia="fr-FR"/>
              </w:rPr>
              <w:t xml:space="preserve">Recettes propres totales, </w:t>
            </w:r>
            <w:r w:rsidRPr="00FB0A5B">
              <w:rPr>
                <w:rFonts w:ascii="Arial" w:hAnsi="Arial" w:cs="Arial"/>
                <w:i/>
              </w:rPr>
              <w:t>en</w:t>
            </w:r>
            <w:r w:rsidRPr="00FB0A5B">
              <w:rPr>
                <w:rFonts w:ascii="Arial" w:hAnsi="Arial" w:cs="Arial"/>
                <w:b/>
                <w:i/>
              </w:rPr>
              <w:t xml:space="preserve"> </w:t>
            </w:r>
            <w:r w:rsidRPr="00FB0A5B">
              <w:rPr>
                <w:rStyle w:val="lev"/>
                <w:rFonts w:ascii="Arial" w:hAnsi="Arial" w:cs="Arial"/>
                <w:b w:val="0"/>
                <w:i/>
              </w:rPr>
              <w:t>millions de FCFA</w:t>
            </w:r>
          </w:p>
        </w:tc>
      </w:tr>
      <w:tr w:rsidR="003C6865" w:rsidRPr="00FB0A5B" w14:paraId="1B6B2B36" w14:textId="77777777" w:rsidTr="00FE5CE2">
        <w:tc>
          <w:tcPr>
            <w:tcW w:w="2122" w:type="dxa"/>
            <w:vAlign w:val="center"/>
          </w:tcPr>
          <w:p w14:paraId="71ECBC8C" w14:textId="77777777" w:rsidR="00FE5CE2" w:rsidRPr="00FB0A5B" w:rsidRDefault="00FE5CE2" w:rsidP="00FB0A5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2020</w:t>
            </w:r>
          </w:p>
        </w:tc>
        <w:tc>
          <w:tcPr>
            <w:tcW w:w="2551" w:type="dxa"/>
            <w:vAlign w:val="center"/>
          </w:tcPr>
          <w:p w14:paraId="220A45A4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9,685</w:t>
            </w:r>
          </w:p>
        </w:tc>
        <w:tc>
          <w:tcPr>
            <w:tcW w:w="2268" w:type="dxa"/>
            <w:vAlign w:val="center"/>
          </w:tcPr>
          <w:p w14:paraId="7F1E64F0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17,498</w:t>
            </w:r>
          </w:p>
        </w:tc>
        <w:tc>
          <w:tcPr>
            <w:tcW w:w="2410" w:type="dxa"/>
            <w:vAlign w:val="center"/>
          </w:tcPr>
          <w:p w14:paraId="4C134C83" w14:textId="77777777" w:rsidR="00FE5CE2" w:rsidRPr="00FB0A5B" w:rsidRDefault="00FE5CE2" w:rsidP="00FB0A5B">
            <w:pPr>
              <w:jc w:val="center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27,183</w:t>
            </w:r>
          </w:p>
        </w:tc>
      </w:tr>
      <w:tr w:rsidR="003C6865" w:rsidRPr="00FB0A5B" w14:paraId="5734D708" w14:textId="77777777" w:rsidTr="00FE5CE2">
        <w:tc>
          <w:tcPr>
            <w:tcW w:w="2122" w:type="dxa"/>
            <w:vAlign w:val="center"/>
          </w:tcPr>
          <w:p w14:paraId="7965867D" w14:textId="77777777" w:rsidR="00FE5CE2" w:rsidRPr="00FB0A5B" w:rsidRDefault="00FE5CE2" w:rsidP="00FB0A5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2021</w:t>
            </w:r>
          </w:p>
        </w:tc>
        <w:tc>
          <w:tcPr>
            <w:tcW w:w="2551" w:type="dxa"/>
            <w:vAlign w:val="center"/>
          </w:tcPr>
          <w:p w14:paraId="46E55B60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17,323</w:t>
            </w:r>
          </w:p>
        </w:tc>
        <w:tc>
          <w:tcPr>
            <w:tcW w:w="2268" w:type="dxa"/>
            <w:vAlign w:val="center"/>
          </w:tcPr>
          <w:p w14:paraId="67EF565A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22,656</w:t>
            </w:r>
          </w:p>
        </w:tc>
        <w:tc>
          <w:tcPr>
            <w:tcW w:w="2410" w:type="dxa"/>
            <w:vAlign w:val="center"/>
          </w:tcPr>
          <w:p w14:paraId="63D0AAC9" w14:textId="77777777" w:rsidR="00FE5CE2" w:rsidRPr="00FB0A5B" w:rsidRDefault="00FE5CE2" w:rsidP="00FB0A5B">
            <w:pPr>
              <w:jc w:val="center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39,979</w:t>
            </w:r>
          </w:p>
        </w:tc>
      </w:tr>
      <w:tr w:rsidR="003C6865" w:rsidRPr="00FB0A5B" w14:paraId="0620C781" w14:textId="77777777" w:rsidTr="00FE5CE2">
        <w:tc>
          <w:tcPr>
            <w:tcW w:w="2122" w:type="dxa"/>
            <w:vAlign w:val="center"/>
          </w:tcPr>
          <w:p w14:paraId="212A2AF8" w14:textId="77777777" w:rsidR="00FE5CE2" w:rsidRPr="00FB0A5B" w:rsidRDefault="00FE5CE2" w:rsidP="00FB0A5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2022</w:t>
            </w:r>
          </w:p>
        </w:tc>
        <w:tc>
          <w:tcPr>
            <w:tcW w:w="2551" w:type="dxa"/>
            <w:vAlign w:val="center"/>
          </w:tcPr>
          <w:p w14:paraId="69BF367F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9,398</w:t>
            </w:r>
          </w:p>
        </w:tc>
        <w:tc>
          <w:tcPr>
            <w:tcW w:w="2268" w:type="dxa"/>
            <w:vAlign w:val="center"/>
          </w:tcPr>
          <w:p w14:paraId="679A8E23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18,397</w:t>
            </w:r>
          </w:p>
        </w:tc>
        <w:tc>
          <w:tcPr>
            <w:tcW w:w="2410" w:type="dxa"/>
            <w:vAlign w:val="center"/>
          </w:tcPr>
          <w:p w14:paraId="2F4BB30D" w14:textId="77777777" w:rsidR="00FE5CE2" w:rsidRPr="00FB0A5B" w:rsidRDefault="00FE5CE2" w:rsidP="00FB0A5B">
            <w:pPr>
              <w:jc w:val="center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27,795</w:t>
            </w:r>
          </w:p>
        </w:tc>
      </w:tr>
      <w:tr w:rsidR="003C6865" w:rsidRPr="00FB0A5B" w14:paraId="78AD7D61" w14:textId="77777777" w:rsidTr="00FE5CE2">
        <w:tc>
          <w:tcPr>
            <w:tcW w:w="2122" w:type="dxa"/>
            <w:vAlign w:val="center"/>
          </w:tcPr>
          <w:p w14:paraId="329241CF" w14:textId="77777777" w:rsidR="00FE5CE2" w:rsidRPr="00FB0A5B" w:rsidRDefault="00FE5CE2" w:rsidP="00FB0A5B">
            <w:pPr>
              <w:spacing w:line="360" w:lineRule="auto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2023</w:t>
            </w:r>
          </w:p>
        </w:tc>
        <w:tc>
          <w:tcPr>
            <w:tcW w:w="2551" w:type="dxa"/>
            <w:vAlign w:val="center"/>
          </w:tcPr>
          <w:p w14:paraId="2FF3608A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10,927</w:t>
            </w:r>
          </w:p>
        </w:tc>
        <w:tc>
          <w:tcPr>
            <w:tcW w:w="2268" w:type="dxa"/>
            <w:vAlign w:val="center"/>
          </w:tcPr>
          <w:p w14:paraId="26CB6CC5" w14:textId="77777777" w:rsidR="00FE5CE2" w:rsidRPr="00FB0A5B" w:rsidRDefault="00FE5CE2" w:rsidP="00FB0A5B">
            <w:pPr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FB0A5B">
              <w:rPr>
                <w:rFonts w:ascii="Arial" w:eastAsia="Times New Roman" w:hAnsi="Arial" w:cs="Arial"/>
                <w:lang w:eastAsia="fr-FR"/>
              </w:rPr>
              <w:t>35,628</w:t>
            </w:r>
          </w:p>
        </w:tc>
        <w:tc>
          <w:tcPr>
            <w:tcW w:w="2410" w:type="dxa"/>
            <w:vAlign w:val="center"/>
          </w:tcPr>
          <w:p w14:paraId="651884DA" w14:textId="77777777" w:rsidR="00FE5CE2" w:rsidRPr="00FB0A5B" w:rsidRDefault="00FE5CE2" w:rsidP="00FB0A5B">
            <w:pPr>
              <w:jc w:val="center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46,555</w:t>
            </w:r>
          </w:p>
        </w:tc>
      </w:tr>
    </w:tbl>
    <w:p w14:paraId="0A017783" w14:textId="658950D9" w:rsidR="007A3C7A" w:rsidRDefault="007A3C7A" w:rsidP="00FB0A5B">
      <w:pPr>
        <w:pStyle w:val="NormalWeb"/>
        <w:spacing w:before="0" w:beforeAutospacing="0" w:after="0" w:afterAutospacing="0" w:line="360" w:lineRule="auto"/>
        <w:ind w:right="-284"/>
        <w:jc w:val="both"/>
        <w:rPr>
          <w:rFonts w:ascii="Arial" w:hAnsi="Arial" w:cs="Arial"/>
        </w:rPr>
      </w:pPr>
    </w:p>
    <w:p w14:paraId="24D39415" w14:textId="3769D6D8" w:rsidR="007A3C7A" w:rsidRDefault="00FB0A5B" w:rsidP="00FB0A5B">
      <w:pPr>
        <w:pStyle w:val="NormalWeb"/>
        <w:spacing w:before="0" w:beforeAutospacing="0" w:after="0" w:afterAutospacing="0" w:line="360" w:lineRule="auto"/>
        <w:ind w:right="-284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263E8E5" wp14:editId="76067948">
            <wp:extent cx="5930900" cy="2743200"/>
            <wp:effectExtent l="0" t="0" r="12700" b="0"/>
            <wp:docPr id="2100177537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DDD3A601-F1B9-B07B-9260-F533244281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7C1A012" w14:textId="77777777" w:rsidR="007A3C7A" w:rsidRDefault="007A3C7A" w:rsidP="00FB0A5B">
      <w:pPr>
        <w:pStyle w:val="NormalWeb"/>
        <w:spacing w:before="0" w:beforeAutospacing="0" w:after="0" w:afterAutospacing="0" w:line="360" w:lineRule="auto"/>
        <w:ind w:right="-284"/>
        <w:jc w:val="both"/>
        <w:rPr>
          <w:rFonts w:ascii="Arial" w:hAnsi="Arial" w:cs="Arial"/>
        </w:rPr>
      </w:pPr>
    </w:p>
    <w:p w14:paraId="32AFD871" w14:textId="63E4B35B" w:rsidR="00892DA9" w:rsidRPr="009D5E2B" w:rsidRDefault="00892DA9" w:rsidP="00FB0A5B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ind w:right="-284"/>
        <w:jc w:val="both"/>
        <w:rPr>
          <w:rFonts w:ascii="Arial" w:hAnsi="Arial" w:cs="Arial"/>
        </w:rPr>
      </w:pPr>
      <w:r w:rsidRPr="009D5E2B">
        <w:rPr>
          <w:rFonts w:ascii="Arial" w:hAnsi="Arial" w:cs="Arial"/>
          <w:b/>
          <w:bCs/>
        </w:rPr>
        <w:t>Tendance</w:t>
      </w:r>
      <w:r w:rsidRPr="009D5E2B">
        <w:rPr>
          <w:rFonts w:ascii="Arial" w:hAnsi="Arial" w:cs="Arial"/>
        </w:rPr>
        <w:t xml:space="preserve"> : la commune affiche une </w:t>
      </w:r>
      <w:r w:rsidRPr="009D5E2B">
        <w:rPr>
          <w:rStyle w:val="lev"/>
          <w:rFonts w:ascii="Arial" w:hAnsi="Arial" w:cs="Arial"/>
        </w:rPr>
        <w:t>sous-mobilisation fiscale persistante</w:t>
      </w:r>
      <w:r w:rsidRPr="009D5E2B">
        <w:rPr>
          <w:rFonts w:ascii="Arial" w:hAnsi="Arial" w:cs="Arial"/>
        </w:rPr>
        <w:t xml:space="preserve"> (RF = 23,5 % des recettes propres en 2023), compensée par une </w:t>
      </w:r>
      <w:r w:rsidRPr="009D5E2B">
        <w:rPr>
          <w:rStyle w:val="lev"/>
          <w:rFonts w:ascii="Arial" w:hAnsi="Arial" w:cs="Arial"/>
        </w:rPr>
        <w:t>croissance des RNF</w:t>
      </w:r>
      <w:r w:rsidRPr="009D5E2B">
        <w:rPr>
          <w:rFonts w:ascii="Arial" w:hAnsi="Arial" w:cs="Arial"/>
        </w:rPr>
        <w:t xml:space="preserve">, mais </w:t>
      </w:r>
      <w:r w:rsidRPr="009D5E2B">
        <w:rPr>
          <w:rStyle w:val="lev"/>
          <w:rFonts w:ascii="Arial" w:hAnsi="Arial" w:cs="Arial"/>
        </w:rPr>
        <w:t>structurellement déséquilibrée et dépendante de ressources non pérennes</w:t>
      </w:r>
      <w:r w:rsidRPr="009D5E2B">
        <w:rPr>
          <w:rFonts w:ascii="Arial" w:hAnsi="Arial" w:cs="Arial"/>
        </w:rPr>
        <w:t>.</w:t>
      </w:r>
    </w:p>
    <w:p w14:paraId="1F0F379A" w14:textId="4E3FBEEF" w:rsidR="00FC272B" w:rsidRDefault="00FC272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  <w:u w:val="single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2024, tableaux 4, 7 et 10</w:t>
      </w:r>
    </w:p>
    <w:p w14:paraId="78FA3D8D" w14:textId="77777777" w:rsidR="00FB0A5B" w:rsidRPr="00FB0A5B" w:rsidRDefault="00FB0A5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25D4CC8A" w14:textId="77777777" w:rsidR="00FC272B" w:rsidRPr="00FB0A5B" w:rsidRDefault="00FC272B" w:rsidP="00FB0A5B">
      <w:pPr>
        <w:pStyle w:val="Titre2"/>
        <w:numPr>
          <w:ilvl w:val="0"/>
          <w:numId w:val="20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B0A5B">
        <w:rPr>
          <w:rFonts w:ascii="Arial" w:hAnsi="Arial" w:cs="Arial"/>
          <w:sz w:val="22"/>
          <w:szCs w:val="22"/>
        </w:rPr>
        <w:t>Diagnostic FFOM</w:t>
      </w:r>
    </w:p>
    <w:p w14:paraId="6FB78972" w14:textId="77777777" w:rsidR="007342D2" w:rsidRPr="00FB0A5B" w:rsidRDefault="007342D2" w:rsidP="00FB0A5B">
      <w:pPr>
        <w:pStyle w:val="Titre2"/>
        <w:spacing w:before="0" w:beforeAutospacing="0" w:after="0" w:afterAutospacing="0"/>
        <w:rPr>
          <w:rFonts w:ascii="Arial" w:hAnsi="Arial" w:cs="Arial"/>
          <w:sz w:val="16"/>
          <w:szCs w:val="22"/>
        </w:rPr>
      </w:pPr>
    </w:p>
    <w:p w14:paraId="6F20C6E8" w14:textId="77777777" w:rsidR="007342D2" w:rsidRPr="00FB0A5B" w:rsidRDefault="007342D2" w:rsidP="00FB0A5B">
      <w:pPr>
        <w:pStyle w:val="Titre2"/>
        <w:spacing w:before="0" w:beforeAutospacing="0" w:after="0" w:afterAutospacing="0"/>
        <w:rPr>
          <w:rFonts w:ascii="Arial" w:hAnsi="Arial" w:cs="Arial"/>
          <w:bCs w:val="0"/>
          <w:sz w:val="22"/>
          <w:szCs w:val="22"/>
        </w:rPr>
      </w:pPr>
      <w:r w:rsidRPr="00FB0A5B">
        <w:rPr>
          <w:rFonts w:ascii="Arial" w:hAnsi="Arial" w:cs="Arial"/>
          <w:bCs w:val="0"/>
          <w:sz w:val="22"/>
          <w:szCs w:val="22"/>
        </w:rPr>
        <w:t>Interne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C6865" w:rsidRPr="00FB0A5B" w14:paraId="61736B3A" w14:textId="77777777" w:rsidTr="00FB0A5B">
        <w:trPr>
          <w:trHeight w:val="402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7BB315" w14:textId="77777777" w:rsidR="007342D2" w:rsidRPr="00FB0A5B" w:rsidRDefault="007342D2" w:rsidP="00FB0A5B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B0A5B">
              <w:rPr>
                <w:rFonts w:ascii="Arial" w:eastAsia="Times New Roman" w:hAnsi="Arial" w:cs="Arial"/>
                <w:b/>
                <w:bCs/>
                <w:lang w:eastAsia="fr-FR"/>
              </w:rPr>
              <w:t>Forces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920FC2" w14:textId="77777777" w:rsidR="007342D2" w:rsidRPr="00FB0A5B" w:rsidRDefault="007342D2" w:rsidP="00FB0A5B">
            <w:pPr>
              <w:jc w:val="center"/>
              <w:rPr>
                <w:rFonts w:ascii="Arial" w:eastAsia="Times New Roman" w:hAnsi="Arial" w:cs="Arial"/>
                <w:b/>
                <w:bCs/>
                <w:lang w:eastAsia="fr-FR"/>
              </w:rPr>
            </w:pPr>
            <w:r w:rsidRPr="00FB0A5B">
              <w:rPr>
                <w:rFonts w:ascii="Arial" w:eastAsia="Times New Roman" w:hAnsi="Arial" w:cs="Arial"/>
                <w:b/>
                <w:bCs/>
                <w:lang w:eastAsia="fr-FR"/>
              </w:rPr>
              <w:t>Faiblesses</w:t>
            </w:r>
          </w:p>
        </w:tc>
      </w:tr>
      <w:tr w:rsidR="009D5E2B" w:rsidRPr="00FB0A5B" w14:paraId="480E306C" w14:textId="77777777" w:rsidTr="00FB0A5B">
        <w:tc>
          <w:tcPr>
            <w:tcW w:w="4531" w:type="dxa"/>
            <w:tcBorders>
              <w:bottom w:val="nil"/>
            </w:tcBorders>
          </w:tcPr>
          <w:p w14:paraId="23E58389" w14:textId="77777777" w:rsidR="007342D2" w:rsidRPr="00FB0A5B" w:rsidRDefault="007342D2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La commune dispose d’un plan d’action pour mobiliser les ressources sur 3 ans (2022-2024).</w:t>
            </w:r>
          </w:p>
        </w:tc>
        <w:tc>
          <w:tcPr>
            <w:tcW w:w="4531" w:type="dxa"/>
            <w:tcBorders>
              <w:bottom w:val="nil"/>
            </w:tcBorders>
          </w:tcPr>
          <w:p w14:paraId="36F3F516" w14:textId="77777777" w:rsidR="007342D2" w:rsidRPr="00FB0A5B" w:rsidRDefault="007342D2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Pas de service spécifique à la mairie chargé uniquement de collecter les recettes communales et de les suivre.</w:t>
            </w:r>
          </w:p>
        </w:tc>
      </w:tr>
      <w:tr w:rsidR="009D5E2B" w:rsidRPr="00FB0A5B" w14:paraId="70817FB6" w14:textId="77777777" w:rsidTr="00FB0A5B">
        <w:tc>
          <w:tcPr>
            <w:tcW w:w="4531" w:type="dxa"/>
            <w:tcBorders>
              <w:top w:val="nil"/>
              <w:bottom w:val="nil"/>
            </w:tcBorders>
          </w:tcPr>
          <w:p w14:paraId="63647A7F" w14:textId="77777777" w:rsidR="007342D2" w:rsidRPr="00FB0A5B" w:rsidRDefault="007342D2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Les règles fiscales (décisions et arrêtés) sont bien établies.</w:t>
            </w: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20BC3D1F" w14:textId="77777777" w:rsidR="007342D2" w:rsidRPr="00FB0A5B" w:rsidRDefault="007342D2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Pas de campagne régulière pour informer et sensibiliser la population sur l’importance de payer les taxes.</w:t>
            </w:r>
          </w:p>
        </w:tc>
      </w:tr>
      <w:tr w:rsidR="009D5E2B" w:rsidRPr="00FB0A5B" w14:paraId="27CDD6B0" w14:textId="77777777" w:rsidTr="00FB0A5B"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330D64D3" w14:textId="77777777" w:rsidR="007342D2" w:rsidRPr="00FB0A5B" w:rsidRDefault="007342D2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Les élus participent parfois aux opérations de collecte sur les marchés.</w:t>
            </w:r>
          </w:p>
        </w:tc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14:paraId="0A400C5C" w14:textId="77777777" w:rsidR="007342D2" w:rsidRDefault="007342D2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Pas de réunion régulière entre les acteurs clés pour coordonner les actions de mobilisation des recettes.</w:t>
            </w:r>
          </w:p>
          <w:p w14:paraId="29115B9C" w14:textId="77777777" w:rsidR="00FB0A5B" w:rsidRDefault="00FB0A5B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23E1C84C" w14:textId="77777777" w:rsidR="00FB0A5B" w:rsidRPr="00FB0A5B" w:rsidRDefault="00FB0A5B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9D5E2B" w:rsidRPr="009D5E2B" w14:paraId="7B28C1C9" w14:textId="77777777" w:rsidTr="00FB0A5B">
        <w:tc>
          <w:tcPr>
            <w:tcW w:w="453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CD82AE5" w14:textId="77777777" w:rsidR="00E530FF" w:rsidRPr="009D5E2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lastRenderedPageBreak/>
              <w:t>Opportunités</w:t>
            </w:r>
          </w:p>
        </w:tc>
        <w:tc>
          <w:tcPr>
            <w:tcW w:w="453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BF2580D" w14:textId="77777777" w:rsidR="00E530FF" w:rsidRPr="009D5E2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Menaces</w:t>
            </w:r>
          </w:p>
        </w:tc>
      </w:tr>
      <w:tr w:rsidR="009D5E2B" w:rsidRPr="009D5E2B" w14:paraId="66BA017F" w14:textId="77777777" w:rsidTr="00FB0A5B">
        <w:tc>
          <w:tcPr>
            <w:tcW w:w="4531" w:type="dxa"/>
            <w:tcBorders>
              <w:bottom w:val="nil"/>
            </w:tcBorders>
          </w:tcPr>
          <w:p w14:paraId="659F3EC4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Un accord a été signé avec le CIPE, ce qui peut améliorer la collaboration pour collecter les impôts.</w:t>
            </w:r>
          </w:p>
          <w:p w14:paraId="2937E40F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31" w:type="dxa"/>
            <w:tcBorders>
              <w:bottom w:val="nil"/>
            </w:tcBorders>
          </w:tcPr>
          <w:p w14:paraId="6034DAC8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Certains groupes locaux (chauffeurs de taxi-motos, agriculteurs, commerçants) ne s’impliquent pas assez</w:t>
            </w:r>
            <w:r w:rsidR="00BE6607"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dans la mobilisation des ressources </w:t>
            </w:r>
            <w:proofErr w:type="gramStart"/>
            <w:r w:rsidR="00BE6607"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propres ;</w:t>
            </w: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.</w:t>
            </w:r>
            <w:proofErr w:type="gramEnd"/>
          </w:p>
        </w:tc>
      </w:tr>
      <w:tr w:rsidR="009D5E2B" w:rsidRPr="009D5E2B" w14:paraId="043F6CA0" w14:textId="77777777" w:rsidTr="00FB0A5B">
        <w:tc>
          <w:tcPr>
            <w:tcW w:w="4531" w:type="dxa"/>
            <w:tcBorders>
              <w:top w:val="nil"/>
              <w:bottom w:val="nil"/>
            </w:tcBorders>
          </w:tcPr>
          <w:p w14:paraId="08D852FC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La mairie peut utiliser un système simple et moderne pour faciliter le paiement des taxes, comme le modèle de Malanville.</w:t>
            </w:r>
          </w:p>
          <w:p w14:paraId="6DF44BF6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14:paraId="501301F8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Les marchés sont en mauvais état (toilettes cassées, hangars précaires), ce qui limite les recettes possibles.</w:t>
            </w:r>
          </w:p>
        </w:tc>
      </w:tr>
      <w:tr w:rsidR="009D5E2B" w:rsidRPr="009D5E2B" w14:paraId="0AA2B7E7" w14:textId="77777777" w:rsidTr="00FB0A5B">
        <w:tc>
          <w:tcPr>
            <w:tcW w:w="4531" w:type="dxa"/>
            <w:tcBorders>
              <w:top w:val="nil"/>
            </w:tcBorders>
          </w:tcPr>
          <w:p w14:paraId="1036EE53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Un nouveau marché pour le tubercule (produit important) est en projet, ce qui pourrait augmenter les recettes.</w:t>
            </w:r>
          </w:p>
        </w:tc>
        <w:tc>
          <w:tcPr>
            <w:tcW w:w="4531" w:type="dxa"/>
            <w:tcBorders>
              <w:top w:val="nil"/>
            </w:tcBorders>
          </w:tcPr>
          <w:p w14:paraId="2661A279" w14:textId="77777777" w:rsidR="00E530FF" w:rsidRPr="00FB0A5B" w:rsidRDefault="00E530FF" w:rsidP="00FB0A5B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FB0A5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• La collaboration entre la mairie, la police et les services de l’environnement est faible, ce qui réduit l’efficacité.</w:t>
            </w:r>
          </w:p>
        </w:tc>
      </w:tr>
    </w:tbl>
    <w:p w14:paraId="1F75D862" w14:textId="77777777" w:rsidR="00FC272B" w:rsidRDefault="00FC272B" w:rsidP="00FB0A5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9D5E2B">
        <w:rPr>
          <w:rFonts w:ascii="Arial" w:hAnsi="Arial" w:cs="Arial"/>
        </w:rPr>
        <w:t xml:space="preserve"> </w:t>
      </w:r>
      <w:r w:rsidRPr="00FB0A5B">
        <w:rPr>
          <w:rStyle w:val="lev"/>
          <w:rFonts w:ascii="Arial" w:hAnsi="Arial" w:cs="Arial"/>
          <w:sz w:val="20"/>
          <w:szCs w:val="20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2024, chapitres 3.1 et 3.2 (tableaux FFOM)</w:t>
      </w:r>
    </w:p>
    <w:p w14:paraId="4B253EBA" w14:textId="77777777" w:rsidR="00FB0A5B" w:rsidRPr="00FB0A5B" w:rsidRDefault="00FB0A5B" w:rsidP="00FB0A5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06FAFBAD" w14:textId="77777777" w:rsidR="00FC272B" w:rsidRPr="009D5E2B" w:rsidRDefault="00FC272B" w:rsidP="00FB0A5B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</w:rPr>
      </w:pPr>
      <w:r w:rsidRPr="009D5E2B">
        <w:rPr>
          <w:rFonts w:ascii="Arial" w:hAnsi="Arial" w:cs="Arial"/>
          <w:b/>
        </w:rPr>
        <w:t>B – VISION, ACTIONS &amp; GOUVERNANCE</w:t>
      </w:r>
    </w:p>
    <w:p w14:paraId="6595C7AE" w14:textId="77777777" w:rsidR="00FC272B" w:rsidRPr="009D5E2B" w:rsidRDefault="00FC272B" w:rsidP="00FB0A5B">
      <w:pPr>
        <w:pStyle w:val="Titre2"/>
        <w:spacing w:before="0" w:beforeAutospacing="0" w:after="0" w:afterAutospacing="0" w:line="276" w:lineRule="auto"/>
        <w:ind w:left="567" w:hanging="425"/>
        <w:rPr>
          <w:rFonts w:ascii="Arial" w:hAnsi="Arial" w:cs="Arial"/>
          <w:sz w:val="24"/>
          <w:szCs w:val="24"/>
        </w:rPr>
      </w:pPr>
      <w:r w:rsidRPr="009D5E2B">
        <w:rPr>
          <w:rFonts w:ascii="Arial" w:hAnsi="Arial" w:cs="Arial"/>
          <w:sz w:val="24"/>
          <w:szCs w:val="24"/>
        </w:rPr>
        <w:t>5. Vision stratégique et axes d’intervention</w:t>
      </w:r>
    </w:p>
    <w:p w14:paraId="3E1A4204" w14:textId="6B6E38FB" w:rsidR="00FC272B" w:rsidRPr="009D5E2B" w:rsidRDefault="00FC272B" w:rsidP="00FB0A5B">
      <w:pPr>
        <w:pStyle w:val="NormalWeb"/>
        <w:numPr>
          <w:ilvl w:val="0"/>
          <w:numId w:val="23"/>
        </w:numPr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9D5E2B">
        <w:rPr>
          <w:rStyle w:val="lev"/>
          <w:rFonts w:ascii="Arial" w:hAnsi="Arial" w:cs="Arial"/>
        </w:rPr>
        <w:t>Vision</w:t>
      </w:r>
      <w:r w:rsidRPr="009D5E2B">
        <w:rPr>
          <w:rFonts w:ascii="Arial" w:hAnsi="Arial" w:cs="Arial"/>
        </w:rPr>
        <w:t xml:space="preserve"> :</w:t>
      </w:r>
      <w:r w:rsidRPr="009D5E2B">
        <w:rPr>
          <w:rFonts w:ascii="Arial" w:hAnsi="Arial" w:cs="Arial"/>
        </w:rPr>
        <w:br/>
        <w:t xml:space="preserve">« D’ici 2026, </w:t>
      </w:r>
      <w:proofErr w:type="spellStart"/>
      <w:r w:rsidRPr="009D5E2B">
        <w:rPr>
          <w:rFonts w:ascii="Arial" w:hAnsi="Arial" w:cs="Arial"/>
        </w:rPr>
        <w:t>Copargo</w:t>
      </w:r>
      <w:proofErr w:type="spellEnd"/>
      <w:r w:rsidRPr="009D5E2B">
        <w:rPr>
          <w:rFonts w:ascii="Arial" w:hAnsi="Arial" w:cs="Arial"/>
        </w:rPr>
        <w:t xml:space="preserve"> est une commune à économie locale dynamique, dotée d’infrastructures marchandes fonctionnelles, avec une mobilisation accrue et sécurisée de ses ressources propres grâce à une assiette maîtrisée, des outils numériques et l’implication de tous les acteurs. »</w:t>
      </w:r>
    </w:p>
    <w:p w14:paraId="10636B33" w14:textId="19D024F2" w:rsidR="00FC272B" w:rsidRPr="009D5E2B" w:rsidRDefault="00FC272B" w:rsidP="00FB0A5B">
      <w:pPr>
        <w:pStyle w:val="NormalWeb"/>
        <w:numPr>
          <w:ilvl w:val="0"/>
          <w:numId w:val="23"/>
        </w:numPr>
        <w:spacing w:before="0" w:beforeAutospacing="0" w:after="0" w:afterAutospacing="0"/>
        <w:rPr>
          <w:rFonts w:ascii="Arial" w:hAnsi="Arial" w:cs="Arial"/>
        </w:rPr>
      </w:pPr>
      <w:r w:rsidRPr="009D5E2B">
        <w:rPr>
          <w:rStyle w:val="lev"/>
          <w:rFonts w:ascii="Arial" w:hAnsi="Arial" w:cs="Arial"/>
        </w:rPr>
        <w:t>Axes stratégiques</w:t>
      </w:r>
      <w:r w:rsidRPr="009D5E2B">
        <w:rPr>
          <w:rFonts w:ascii="Arial" w:hAnsi="Arial" w:cs="Arial"/>
        </w:rPr>
        <w:t xml:space="preserve"> :</w:t>
      </w:r>
    </w:p>
    <w:p w14:paraId="51142B8A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élargissement</w:t>
      </w:r>
      <w:proofErr w:type="gramEnd"/>
      <w:r w:rsidRPr="009D5E2B">
        <w:rPr>
          <w:rFonts w:ascii="Arial" w:hAnsi="Arial" w:cs="Arial"/>
        </w:rPr>
        <w:t xml:space="preserve"> et maîtrise de l’assiette fiscale et non fiscale ;</w:t>
      </w:r>
    </w:p>
    <w:p w14:paraId="0DD726D3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276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processus</w:t>
      </w:r>
      <w:proofErr w:type="gramEnd"/>
      <w:r w:rsidRPr="009D5E2B">
        <w:rPr>
          <w:rFonts w:ascii="Arial" w:hAnsi="Arial" w:cs="Arial"/>
        </w:rPr>
        <w:t xml:space="preserve"> fiscaux et non fiscaux ;</w:t>
      </w:r>
    </w:p>
    <w:p w14:paraId="11F93064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gestion</w:t>
      </w:r>
      <w:proofErr w:type="gramEnd"/>
      <w:r w:rsidRPr="009D5E2B">
        <w:rPr>
          <w:rFonts w:ascii="Arial" w:hAnsi="Arial" w:cs="Arial"/>
        </w:rPr>
        <w:t xml:space="preserve"> des infrastructures et équipements marchands ;</w:t>
      </w:r>
    </w:p>
    <w:p w14:paraId="1FC22799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mobilisation</w:t>
      </w:r>
      <w:proofErr w:type="gramEnd"/>
      <w:r w:rsidRPr="009D5E2B">
        <w:rPr>
          <w:rFonts w:ascii="Arial" w:hAnsi="Arial" w:cs="Arial"/>
        </w:rPr>
        <w:t xml:space="preserve"> des ressources dormantes ;</w:t>
      </w:r>
    </w:p>
    <w:p w14:paraId="7675E60E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implication</w:t>
      </w:r>
      <w:proofErr w:type="gramEnd"/>
      <w:r w:rsidRPr="009D5E2B">
        <w:rPr>
          <w:rFonts w:ascii="Arial" w:hAnsi="Arial" w:cs="Arial"/>
        </w:rPr>
        <w:t xml:space="preserve"> et responsabilisation des élus ;</w:t>
      </w:r>
    </w:p>
    <w:p w14:paraId="2407A03F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communication</w:t>
      </w:r>
      <w:proofErr w:type="gramEnd"/>
      <w:r w:rsidRPr="009D5E2B">
        <w:rPr>
          <w:rFonts w:ascii="Arial" w:hAnsi="Arial" w:cs="Arial"/>
        </w:rPr>
        <w:t>, sensibilisation et plaidoyers ;</w:t>
      </w:r>
    </w:p>
    <w:p w14:paraId="539B5FC9" w14:textId="77777777" w:rsidR="00402BAB" w:rsidRPr="009D5E2B" w:rsidRDefault="00402BAB" w:rsidP="00FB0A5B">
      <w:pPr>
        <w:pStyle w:val="NormalWeb"/>
        <w:numPr>
          <w:ilvl w:val="0"/>
          <w:numId w:val="21"/>
        </w:numPr>
        <w:spacing w:before="0" w:beforeAutospacing="0" w:after="0" w:afterAutospacing="0" w:line="360" w:lineRule="auto"/>
        <w:ind w:left="1134"/>
        <w:rPr>
          <w:rFonts w:ascii="Arial" w:hAnsi="Arial" w:cs="Arial"/>
        </w:rPr>
      </w:pPr>
      <w:proofErr w:type="gramStart"/>
      <w:r w:rsidRPr="009D5E2B">
        <w:rPr>
          <w:rFonts w:ascii="Arial" w:hAnsi="Arial" w:cs="Arial"/>
        </w:rPr>
        <w:t>mécanismes</w:t>
      </w:r>
      <w:proofErr w:type="gramEnd"/>
      <w:r w:rsidRPr="009D5E2B">
        <w:rPr>
          <w:rFonts w:ascii="Arial" w:hAnsi="Arial" w:cs="Arial"/>
        </w:rPr>
        <w:t xml:space="preserve"> et outils de suivi-évaluation.</w:t>
      </w:r>
    </w:p>
    <w:p w14:paraId="0AB68621" w14:textId="4AAD2ED3" w:rsidR="00FC272B" w:rsidRPr="00FB0A5B" w:rsidRDefault="00FB0A5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</w:rPr>
        <w:t xml:space="preserve">              </w:t>
      </w:r>
      <w:r w:rsidR="00FC272B" w:rsidRPr="00FB0A5B">
        <w:rPr>
          <w:rStyle w:val="lev"/>
          <w:rFonts w:ascii="Arial" w:hAnsi="Arial" w:cs="Arial"/>
          <w:sz w:val="20"/>
          <w:szCs w:val="20"/>
          <w:u w:val="single"/>
        </w:rPr>
        <w:t>Source</w:t>
      </w:r>
      <w:r w:rsidR="00FC272B"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="00FC272B" w:rsidRPr="00FB0A5B">
        <w:rPr>
          <w:rFonts w:ascii="Arial" w:hAnsi="Arial" w:cs="Arial"/>
          <w:sz w:val="20"/>
          <w:szCs w:val="20"/>
        </w:rPr>
        <w:t>Copargo</w:t>
      </w:r>
      <w:proofErr w:type="spellEnd"/>
      <w:r w:rsidR="00FC272B" w:rsidRPr="00FB0A5B">
        <w:rPr>
          <w:rFonts w:ascii="Arial" w:hAnsi="Arial" w:cs="Arial"/>
          <w:sz w:val="20"/>
          <w:szCs w:val="20"/>
        </w:rPr>
        <w:t xml:space="preserve">, 2024, </w:t>
      </w:r>
      <w:r w:rsidR="00402BAB" w:rsidRPr="00FB0A5B">
        <w:rPr>
          <w:rFonts w:ascii="Arial" w:hAnsi="Arial" w:cs="Arial"/>
          <w:sz w:val="20"/>
          <w:szCs w:val="20"/>
        </w:rPr>
        <w:t>page 35</w:t>
      </w:r>
    </w:p>
    <w:p w14:paraId="174446E1" w14:textId="77777777" w:rsidR="00C80C11" w:rsidRPr="009D5E2B" w:rsidRDefault="00C80C11" w:rsidP="00FB0A5B">
      <w:pPr>
        <w:pStyle w:val="Titre2"/>
        <w:spacing w:before="0" w:beforeAutospacing="0" w:after="0" w:afterAutospacing="0" w:line="360" w:lineRule="auto"/>
        <w:ind w:left="709" w:hanging="283"/>
        <w:rPr>
          <w:rFonts w:ascii="Arial" w:hAnsi="Arial" w:cs="Arial"/>
          <w:sz w:val="24"/>
          <w:szCs w:val="24"/>
        </w:rPr>
        <w:sectPr w:rsidR="00C80C11" w:rsidRPr="009D5E2B" w:rsidSect="00A03DAF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14:paraId="315FE3A1" w14:textId="77777777" w:rsidR="00FC272B" w:rsidRPr="009D5E2B" w:rsidRDefault="00FC272B" w:rsidP="00FB0A5B">
      <w:pPr>
        <w:pStyle w:val="Titre2"/>
        <w:spacing w:before="0" w:beforeAutospacing="0" w:after="0" w:afterAutospacing="0" w:line="360" w:lineRule="auto"/>
        <w:ind w:left="709" w:hanging="283"/>
        <w:rPr>
          <w:rFonts w:ascii="Arial" w:hAnsi="Arial" w:cs="Arial"/>
          <w:sz w:val="24"/>
          <w:szCs w:val="24"/>
        </w:rPr>
      </w:pPr>
      <w:r w:rsidRPr="009D5E2B">
        <w:rPr>
          <w:rFonts w:ascii="Arial" w:hAnsi="Arial" w:cs="Arial"/>
          <w:sz w:val="24"/>
          <w:szCs w:val="24"/>
        </w:rPr>
        <w:lastRenderedPageBreak/>
        <w:t>6. Plan d’action triennal (2024–2026)</w:t>
      </w:r>
    </w:p>
    <w:tbl>
      <w:tblPr>
        <w:tblStyle w:val="Grilledutableau"/>
        <w:tblW w:w="15027" w:type="dxa"/>
        <w:tblInd w:w="-431" w:type="dxa"/>
        <w:tblLook w:val="04A0" w:firstRow="1" w:lastRow="0" w:firstColumn="1" w:lastColumn="0" w:noHBand="0" w:noVBand="1"/>
      </w:tblPr>
      <w:tblGrid>
        <w:gridCol w:w="852"/>
        <w:gridCol w:w="2533"/>
        <w:gridCol w:w="6680"/>
        <w:gridCol w:w="3119"/>
        <w:gridCol w:w="1843"/>
      </w:tblGrid>
      <w:tr w:rsidR="003C6865" w:rsidRPr="009D5E2B" w14:paraId="60834416" w14:textId="77777777" w:rsidTr="0012059A">
        <w:trPr>
          <w:trHeight w:val="588"/>
          <w:tblHeader/>
        </w:trPr>
        <w:tc>
          <w:tcPr>
            <w:tcW w:w="852" w:type="dxa"/>
            <w:shd w:val="clear" w:color="auto" w:fill="E2EFD9" w:themeFill="accent6" w:themeFillTint="33"/>
            <w:vAlign w:val="center"/>
          </w:tcPr>
          <w:p w14:paraId="46AC72AD" w14:textId="77777777" w:rsidR="00C80C11" w:rsidRPr="009D5E2B" w:rsidRDefault="00C80C11" w:rsidP="00FB0A5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N°</w:t>
            </w:r>
          </w:p>
        </w:tc>
        <w:tc>
          <w:tcPr>
            <w:tcW w:w="2533" w:type="dxa"/>
            <w:shd w:val="clear" w:color="auto" w:fill="E2EFD9" w:themeFill="accent6" w:themeFillTint="33"/>
            <w:vAlign w:val="center"/>
          </w:tcPr>
          <w:p w14:paraId="60B832DC" w14:textId="77777777" w:rsidR="00C80C11" w:rsidRPr="009D5E2B" w:rsidRDefault="00C80C11" w:rsidP="00FB0A5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Axe d’amélioration</w:t>
            </w:r>
          </w:p>
        </w:tc>
        <w:tc>
          <w:tcPr>
            <w:tcW w:w="6680" w:type="dxa"/>
            <w:shd w:val="clear" w:color="auto" w:fill="E2EFD9" w:themeFill="accent6" w:themeFillTint="33"/>
            <w:vAlign w:val="center"/>
          </w:tcPr>
          <w:p w14:paraId="1583FDDD" w14:textId="77777777" w:rsidR="00C80C11" w:rsidRPr="009D5E2B" w:rsidRDefault="00C80C11" w:rsidP="00FB0A5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Actions prioritaires </w:t>
            </w:r>
            <w:r w:rsidRPr="009D5E2B">
              <w:rPr>
                <w:rFonts w:ascii="Arial" w:eastAsia="Times New Roman" w:hAnsi="Arial" w:cs="Arial"/>
                <w:bCs/>
                <w:sz w:val="24"/>
                <w:szCs w:val="24"/>
                <w:lang w:eastAsia="fr-FR"/>
              </w:rPr>
              <w:t>(Activités phares)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03AEB5E5" w14:textId="77777777" w:rsidR="00C80C11" w:rsidRPr="009D5E2B" w:rsidRDefault="00C80C11" w:rsidP="00FB0A5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Responsables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084C4EB" w14:textId="77777777" w:rsidR="00C80C11" w:rsidRPr="009D5E2B" w:rsidRDefault="00C80C11" w:rsidP="00FB0A5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Période</w:t>
            </w:r>
          </w:p>
        </w:tc>
      </w:tr>
      <w:tr w:rsidR="003C6865" w:rsidRPr="009D5E2B" w14:paraId="222562FE" w14:textId="77777777" w:rsidTr="0012059A">
        <w:tc>
          <w:tcPr>
            <w:tcW w:w="852" w:type="dxa"/>
            <w:vMerge w:val="restart"/>
          </w:tcPr>
          <w:p w14:paraId="26D7DC3B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D5E2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33" w:type="dxa"/>
            <w:vMerge w:val="restart"/>
          </w:tcPr>
          <w:p w14:paraId="42288DEA" w14:textId="77777777" w:rsidR="00BD3418" w:rsidRPr="009D5E2B" w:rsidRDefault="00BD3418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La commune élargit et maîtrise l’assiette fiscale et non fiscale</w:t>
            </w:r>
          </w:p>
        </w:tc>
        <w:tc>
          <w:tcPr>
            <w:tcW w:w="6680" w:type="dxa"/>
          </w:tcPr>
          <w:p w14:paraId="28D9129D" w14:textId="77777777" w:rsidR="00BD3418" w:rsidRPr="009D5E2B" w:rsidRDefault="00BD3418" w:rsidP="00FB0A5B">
            <w:pPr>
              <w:pStyle w:val="Titre2"/>
              <w:spacing w:before="0" w:beforeAutospacing="0" w:after="0" w:afterAutospacing="0"/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</w:pPr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>Recensement exhaustif des ressources fiscales et non fiscales dormantes (panneaux, boissons fermentées, armes, taxis-motos, bovins, etc.)</w:t>
            </w:r>
          </w:p>
        </w:tc>
        <w:tc>
          <w:tcPr>
            <w:tcW w:w="3119" w:type="dxa"/>
            <w:vMerge w:val="restart"/>
          </w:tcPr>
          <w:p w14:paraId="2AABEB40" w14:textId="77777777" w:rsidR="00BD3418" w:rsidRPr="009D5E2B" w:rsidRDefault="00BD3418" w:rsidP="00FB0A5B">
            <w:pPr>
              <w:pStyle w:val="Titre2"/>
              <w:spacing w:before="0" w:beforeAutospacing="0" w:after="0" w:afterAutospacing="0" w:line="276" w:lineRule="auto"/>
              <w:rPr>
                <w:b w:val="0"/>
                <w:sz w:val="24"/>
                <w:szCs w:val="24"/>
              </w:rPr>
            </w:pPr>
            <w:r w:rsidRPr="009D5E2B">
              <w:rPr>
                <w:b w:val="0"/>
                <w:sz w:val="24"/>
                <w:szCs w:val="24"/>
              </w:rPr>
              <w:t>SE /</w:t>
            </w:r>
          </w:p>
          <w:p w14:paraId="206CC467" w14:textId="77777777" w:rsidR="00BD3418" w:rsidRPr="009D5E2B" w:rsidRDefault="00BD3418" w:rsidP="00FB0A5B">
            <w:pPr>
              <w:pStyle w:val="Titre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24"/>
                <w:szCs w:val="24"/>
              </w:rPr>
            </w:pPr>
            <w:r w:rsidRPr="009D5E2B">
              <w:rPr>
                <w:b w:val="0"/>
                <w:sz w:val="24"/>
                <w:szCs w:val="24"/>
              </w:rPr>
              <w:t>TC, RAAF, C/SAEM, D/ST, CIPE, Elus communaux ; autres</w:t>
            </w:r>
          </w:p>
        </w:tc>
        <w:tc>
          <w:tcPr>
            <w:tcW w:w="1843" w:type="dxa"/>
            <w:vAlign w:val="center"/>
          </w:tcPr>
          <w:p w14:paraId="07B76835" w14:textId="77777777" w:rsidR="00BD3418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2025 (T2)</w:t>
            </w:r>
          </w:p>
        </w:tc>
      </w:tr>
      <w:tr w:rsidR="003C6865" w:rsidRPr="009D5E2B" w14:paraId="6A72E24C" w14:textId="77777777" w:rsidTr="0012059A">
        <w:tc>
          <w:tcPr>
            <w:tcW w:w="852" w:type="dxa"/>
            <w:vMerge/>
          </w:tcPr>
          <w:p w14:paraId="0F53646C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0D4034EA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0" w:type="dxa"/>
          </w:tcPr>
          <w:p w14:paraId="733AB8E4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</w:pPr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>Actualisation de la base issue de l’EGF et des répertoires locaux (conducteurs, éleveurs, détenteurs d’armes, etc.)</w:t>
            </w:r>
          </w:p>
        </w:tc>
        <w:tc>
          <w:tcPr>
            <w:tcW w:w="3119" w:type="dxa"/>
            <w:vMerge/>
          </w:tcPr>
          <w:p w14:paraId="2ED3F266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406F85E" w14:textId="77777777" w:rsidR="0012059A" w:rsidRPr="009D5E2B" w:rsidRDefault="001D5A7B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2026 (T3</w:t>
            </w:r>
            <w:r w:rsidR="0012059A" w:rsidRPr="009D5E2B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</w:tr>
      <w:tr w:rsidR="003C6865" w:rsidRPr="009D5E2B" w14:paraId="7437D242" w14:textId="77777777" w:rsidTr="0012059A">
        <w:tc>
          <w:tcPr>
            <w:tcW w:w="852" w:type="dxa"/>
            <w:vMerge/>
          </w:tcPr>
          <w:p w14:paraId="546067A2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11748C85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0" w:type="dxa"/>
          </w:tcPr>
          <w:p w14:paraId="3F3F758D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</w:pPr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>Planification de l’aménagement des carrières rentables et construction du marché central</w:t>
            </w:r>
          </w:p>
        </w:tc>
        <w:tc>
          <w:tcPr>
            <w:tcW w:w="3119" w:type="dxa"/>
            <w:vMerge/>
          </w:tcPr>
          <w:p w14:paraId="008D74A6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C0B049" w14:textId="77777777" w:rsidR="0012059A" w:rsidRPr="009D5E2B" w:rsidRDefault="001D5A7B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2025 (T2-T3</w:t>
            </w:r>
            <w:r w:rsidR="0012059A" w:rsidRPr="009D5E2B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</w:tr>
      <w:tr w:rsidR="003C6865" w:rsidRPr="009D5E2B" w14:paraId="7C42EBB4" w14:textId="77777777" w:rsidTr="0012059A">
        <w:tc>
          <w:tcPr>
            <w:tcW w:w="852" w:type="dxa"/>
            <w:vMerge/>
          </w:tcPr>
          <w:p w14:paraId="1C8A2F4E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7C458A97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0" w:type="dxa"/>
          </w:tcPr>
          <w:p w14:paraId="12E2B918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</w:pPr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>Réorganisation de secteurs à forte contribution potentielle (taxis motos, boissons, événements)</w:t>
            </w:r>
          </w:p>
        </w:tc>
        <w:tc>
          <w:tcPr>
            <w:tcW w:w="3119" w:type="dxa"/>
            <w:vMerge/>
          </w:tcPr>
          <w:p w14:paraId="1EE39979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8382F0" w14:textId="77777777" w:rsidR="0012059A" w:rsidRPr="009D5E2B" w:rsidRDefault="001D5A7B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2025 (T1-T4</w:t>
            </w:r>
            <w:r w:rsidR="0012059A" w:rsidRPr="009D5E2B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</w:tr>
      <w:tr w:rsidR="003C6865" w:rsidRPr="009D5E2B" w14:paraId="1E160B5E" w14:textId="77777777" w:rsidTr="0012059A">
        <w:tc>
          <w:tcPr>
            <w:tcW w:w="852" w:type="dxa"/>
            <w:vMerge w:val="restart"/>
          </w:tcPr>
          <w:p w14:paraId="2E595346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D5E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3" w:type="dxa"/>
            <w:vMerge w:val="restart"/>
            <w:vAlign w:val="center"/>
          </w:tcPr>
          <w:p w14:paraId="33DC7A13" w14:textId="77777777" w:rsidR="0012059A" w:rsidRPr="009D5E2B" w:rsidRDefault="0012059A" w:rsidP="00FB0A5B">
            <w:pPr>
              <w:rPr>
                <w:rFonts w:ascii="Arial" w:eastAsia="Times New Roman" w:hAnsi="Arial" w:cs="Arial"/>
                <w:bCs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Cs/>
                <w:szCs w:val="24"/>
                <w:lang w:eastAsia="fr-FR"/>
              </w:rPr>
              <w:t>Renforcement de la dynamique économique locale et de la gouvernance fiscale</w:t>
            </w:r>
          </w:p>
        </w:tc>
        <w:tc>
          <w:tcPr>
            <w:tcW w:w="6680" w:type="dxa"/>
            <w:vAlign w:val="center"/>
          </w:tcPr>
          <w:p w14:paraId="2C43F5FB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Mettre en place un Creuset d’Appui à la Dynamique Économique et Commerciale (CADEC)</w:t>
            </w:r>
          </w:p>
        </w:tc>
        <w:tc>
          <w:tcPr>
            <w:tcW w:w="3119" w:type="dxa"/>
          </w:tcPr>
          <w:p w14:paraId="4640782C" w14:textId="77777777" w:rsidR="0012059A" w:rsidRPr="009D5E2B" w:rsidRDefault="0012059A" w:rsidP="00FB0A5B">
            <w:pPr>
              <w:pStyle w:val="Titre2"/>
              <w:spacing w:before="0" w:beforeAutospacing="0" w:after="0" w:afterAutospacing="0" w:line="276" w:lineRule="auto"/>
              <w:rPr>
                <w:b w:val="0"/>
                <w:sz w:val="24"/>
                <w:szCs w:val="24"/>
              </w:rPr>
            </w:pPr>
            <w:r w:rsidRPr="009D5E2B">
              <w:rPr>
                <w:b w:val="0"/>
                <w:sz w:val="24"/>
                <w:szCs w:val="24"/>
              </w:rPr>
              <w:t>SE, CIPE, TC, DAAF, Elus communaux, autres</w:t>
            </w:r>
          </w:p>
        </w:tc>
        <w:tc>
          <w:tcPr>
            <w:tcW w:w="1843" w:type="dxa"/>
          </w:tcPr>
          <w:p w14:paraId="324F0F98" w14:textId="77777777" w:rsidR="0012059A" w:rsidRPr="009D5E2B" w:rsidRDefault="001D5A7B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2025 (T2</w:t>
            </w:r>
            <w:r w:rsidR="0012059A" w:rsidRPr="009D5E2B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</w:tr>
      <w:tr w:rsidR="003C6865" w:rsidRPr="009D5E2B" w14:paraId="3E6B619B" w14:textId="77777777" w:rsidTr="0012059A">
        <w:tc>
          <w:tcPr>
            <w:tcW w:w="852" w:type="dxa"/>
            <w:vMerge/>
          </w:tcPr>
          <w:p w14:paraId="4EBEE41F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/>
            <w:vAlign w:val="center"/>
          </w:tcPr>
          <w:p w14:paraId="0C426456" w14:textId="77777777" w:rsidR="0012059A" w:rsidRPr="009D5E2B" w:rsidRDefault="0012059A" w:rsidP="00FB0A5B">
            <w:pPr>
              <w:rPr>
                <w:rFonts w:ascii="Arial" w:eastAsia="Times New Roman" w:hAnsi="Arial" w:cs="Arial"/>
                <w:bCs/>
                <w:szCs w:val="24"/>
                <w:lang w:eastAsia="fr-FR"/>
              </w:rPr>
            </w:pPr>
          </w:p>
        </w:tc>
        <w:tc>
          <w:tcPr>
            <w:tcW w:w="6680" w:type="dxa"/>
            <w:vAlign w:val="center"/>
          </w:tcPr>
          <w:p w14:paraId="6A10005F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Redéployer les collecteurs vers les zones à fort potentiel</w:t>
            </w:r>
          </w:p>
        </w:tc>
        <w:tc>
          <w:tcPr>
            <w:tcW w:w="3119" w:type="dxa"/>
            <w:vAlign w:val="center"/>
          </w:tcPr>
          <w:p w14:paraId="02EB2125" w14:textId="77777777" w:rsidR="0012059A" w:rsidRPr="009D5E2B" w:rsidRDefault="0012059A" w:rsidP="00FB0A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5E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SE, DAAF, </w:t>
            </w:r>
            <w:proofErr w:type="gramStart"/>
            <w:r w:rsidRPr="009D5E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TC ,</w:t>
            </w:r>
            <w:proofErr w:type="gramEnd"/>
            <w:r w:rsidRPr="009D5E2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9D5E2B">
              <w:rPr>
                <w:b/>
                <w:sz w:val="24"/>
                <w:szCs w:val="24"/>
              </w:rPr>
              <w:t>Elus communaux ; autres</w:t>
            </w:r>
          </w:p>
        </w:tc>
        <w:tc>
          <w:tcPr>
            <w:tcW w:w="1843" w:type="dxa"/>
          </w:tcPr>
          <w:p w14:paraId="116339BF" w14:textId="77777777" w:rsidR="001D5A7B" w:rsidRDefault="001D5A7B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2024</w:t>
            </w:r>
            <w:r w:rsidR="0012059A" w:rsidRPr="009D5E2B">
              <w:rPr>
                <w:rFonts w:ascii="Arial" w:hAnsi="Arial" w:cs="Arial"/>
                <w:b w:val="0"/>
                <w:sz w:val="22"/>
                <w:szCs w:val="24"/>
              </w:rPr>
              <w:t xml:space="preserve"> (T</w:t>
            </w:r>
            <w:r>
              <w:rPr>
                <w:rFonts w:ascii="Arial" w:hAnsi="Arial" w:cs="Arial"/>
                <w:b w:val="0"/>
                <w:sz w:val="22"/>
                <w:szCs w:val="24"/>
              </w:rPr>
              <w:t>4</w:t>
            </w:r>
            <w:r w:rsidR="0012059A" w:rsidRPr="009D5E2B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  <w:p w14:paraId="26AB1BCC" w14:textId="77777777" w:rsidR="001D5A7B" w:rsidRDefault="001D5A7B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2025 (T1-T3)</w:t>
            </w:r>
          </w:p>
          <w:p w14:paraId="0D562F90" w14:textId="77777777" w:rsidR="001D5A7B" w:rsidRPr="009D5E2B" w:rsidRDefault="001D5A7B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4"/>
              </w:rPr>
            </w:pPr>
            <w:r>
              <w:rPr>
                <w:rFonts w:ascii="Arial" w:hAnsi="Arial" w:cs="Arial"/>
                <w:b w:val="0"/>
                <w:sz w:val="22"/>
                <w:szCs w:val="24"/>
              </w:rPr>
              <w:t>2026 (T2-T4)</w:t>
            </w:r>
          </w:p>
        </w:tc>
      </w:tr>
      <w:tr w:rsidR="003C6865" w:rsidRPr="009D5E2B" w14:paraId="4FABBDEB" w14:textId="77777777" w:rsidTr="0012059A">
        <w:tc>
          <w:tcPr>
            <w:tcW w:w="852" w:type="dxa"/>
            <w:vMerge w:val="restart"/>
          </w:tcPr>
          <w:p w14:paraId="388C5D49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D5E2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33" w:type="dxa"/>
            <w:vMerge w:val="restart"/>
            <w:vAlign w:val="center"/>
          </w:tcPr>
          <w:p w14:paraId="7BE39B86" w14:textId="77777777" w:rsidR="0012059A" w:rsidRPr="009D5E2B" w:rsidRDefault="0012059A" w:rsidP="00FB0A5B">
            <w:pPr>
              <w:rPr>
                <w:rFonts w:ascii="Arial" w:eastAsia="Times New Roman" w:hAnsi="Arial" w:cs="Arial"/>
                <w:bCs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Cs/>
                <w:szCs w:val="24"/>
                <w:lang w:eastAsia="fr-FR"/>
              </w:rPr>
              <w:t>Modernisation et professionnalisation du recouvrement des recettes</w:t>
            </w:r>
          </w:p>
        </w:tc>
        <w:tc>
          <w:tcPr>
            <w:tcW w:w="6680" w:type="dxa"/>
            <w:vAlign w:val="center"/>
          </w:tcPr>
          <w:p w14:paraId="65D253FF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Créer un Service Spécialisé de Recouvrement de la Mairie (SSRM)</w:t>
            </w:r>
          </w:p>
        </w:tc>
        <w:tc>
          <w:tcPr>
            <w:tcW w:w="3119" w:type="dxa"/>
            <w:vMerge w:val="restart"/>
          </w:tcPr>
          <w:p w14:paraId="50ED4244" w14:textId="77777777" w:rsidR="0012059A" w:rsidRPr="009D5E2B" w:rsidRDefault="0012059A" w:rsidP="00FB0A5B">
            <w:pPr>
              <w:pStyle w:val="Titre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SE, CIPE, TC, DAAF, Elus communaux, autres</w:t>
            </w:r>
          </w:p>
        </w:tc>
        <w:tc>
          <w:tcPr>
            <w:tcW w:w="1843" w:type="dxa"/>
          </w:tcPr>
          <w:p w14:paraId="3914025F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2025 (T4)</w:t>
            </w:r>
          </w:p>
        </w:tc>
      </w:tr>
      <w:tr w:rsidR="003C6865" w:rsidRPr="009D5E2B" w14:paraId="1A41AED2" w14:textId="77777777" w:rsidTr="0012059A">
        <w:tc>
          <w:tcPr>
            <w:tcW w:w="852" w:type="dxa"/>
            <w:vMerge/>
          </w:tcPr>
          <w:p w14:paraId="0AA1BE2F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7A09D46E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0" w:type="dxa"/>
            <w:vAlign w:val="center"/>
          </w:tcPr>
          <w:p w14:paraId="66278B7A" w14:textId="77777777" w:rsidR="0012059A" w:rsidRPr="009D5E2B" w:rsidRDefault="0012059A" w:rsidP="00FB0A5B">
            <w:pPr>
              <w:pStyle w:val="Titre2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bCs w:val="0"/>
                <w:sz w:val="22"/>
                <w:szCs w:val="24"/>
              </w:rPr>
              <w:t>Mettre en place un système informatisé de recouvrement (TAR – modèle de Malanville)</w:t>
            </w:r>
          </w:p>
        </w:tc>
        <w:tc>
          <w:tcPr>
            <w:tcW w:w="3119" w:type="dxa"/>
            <w:vMerge/>
          </w:tcPr>
          <w:p w14:paraId="161EA98E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843" w:type="dxa"/>
          </w:tcPr>
          <w:p w14:paraId="315B6515" w14:textId="77777777" w:rsidR="0012059A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2026 (T2</w:t>
            </w:r>
            <w:r w:rsidR="001D5A7B">
              <w:rPr>
                <w:rFonts w:ascii="Arial" w:hAnsi="Arial" w:cs="Arial"/>
                <w:b w:val="0"/>
                <w:sz w:val="22"/>
                <w:szCs w:val="24"/>
              </w:rPr>
              <w:t>-T4</w:t>
            </w: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)</w:t>
            </w:r>
          </w:p>
        </w:tc>
      </w:tr>
      <w:tr w:rsidR="003C6865" w:rsidRPr="009D5E2B" w14:paraId="32BDF44B" w14:textId="77777777" w:rsidTr="0012059A">
        <w:tc>
          <w:tcPr>
            <w:tcW w:w="852" w:type="dxa"/>
          </w:tcPr>
          <w:p w14:paraId="64DC801C" w14:textId="77777777" w:rsidR="00D65C3E" w:rsidRPr="009D5E2B" w:rsidRDefault="0012059A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  <w:r w:rsidRPr="009D5E2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33" w:type="dxa"/>
          </w:tcPr>
          <w:p w14:paraId="7A2B997F" w14:textId="77777777" w:rsidR="00D65C3E" w:rsidRPr="009D5E2B" w:rsidRDefault="00217E68" w:rsidP="00FB0A5B">
            <w:pPr>
              <w:rPr>
                <w:rFonts w:ascii="Arial" w:eastAsia="Times New Roman" w:hAnsi="Arial" w:cs="Arial"/>
                <w:bCs/>
                <w:szCs w:val="24"/>
                <w:lang w:eastAsia="fr-FR"/>
              </w:rPr>
            </w:pPr>
            <w:r w:rsidRPr="009D5E2B">
              <w:rPr>
                <w:rFonts w:ascii="Arial" w:hAnsi="Arial" w:cs="Arial"/>
              </w:rPr>
              <w:t>Renforcement de</w:t>
            </w:r>
            <w:r w:rsidR="00D65C3E" w:rsidRPr="009D5E2B">
              <w:rPr>
                <w:rFonts w:ascii="Arial" w:hAnsi="Arial" w:cs="Arial"/>
              </w:rPr>
              <w:t xml:space="preserve"> la gestion locative des infrastructures marchandes par des outils de suivi et un recouvrement actif des loyers.</w:t>
            </w:r>
          </w:p>
        </w:tc>
        <w:tc>
          <w:tcPr>
            <w:tcW w:w="6680" w:type="dxa"/>
            <w:vAlign w:val="center"/>
          </w:tcPr>
          <w:p w14:paraId="75AC897B" w14:textId="77777777" w:rsidR="00D65C3E" w:rsidRPr="009D5E2B" w:rsidRDefault="00D65C3E" w:rsidP="00FB0A5B">
            <w:pPr>
              <w:rPr>
                <w:rFonts w:ascii="Arial" w:hAnsi="Arial" w:cs="Arial"/>
                <w:bCs/>
              </w:rPr>
            </w:pPr>
            <w:r w:rsidRPr="009D5E2B">
              <w:rPr>
                <w:rFonts w:ascii="Arial" w:hAnsi="Arial" w:cs="Arial"/>
                <w:bCs/>
              </w:rPr>
              <w:t>Instaurer un dispositif intégré de suivi et recouvrement des loyers des infrastructures marchandes, combinant outils de saisie, sensibilisation et actions coercitives.</w:t>
            </w:r>
          </w:p>
        </w:tc>
        <w:tc>
          <w:tcPr>
            <w:tcW w:w="3119" w:type="dxa"/>
          </w:tcPr>
          <w:p w14:paraId="772326B2" w14:textId="77777777" w:rsidR="00D65C3E" w:rsidRPr="009D5E2B" w:rsidRDefault="00D65C3E" w:rsidP="00FB0A5B">
            <w:pPr>
              <w:pStyle w:val="Titre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DAAF, chargé équipement marchands, Police Républicaine</w:t>
            </w:r>
          </w:p>
        </w:tc>
        <w:tc>
          <w:tcPr>
            <w:tcW w:w="1843" w:type="dxa"/>
          </w:tcPr>
          <w:p w14:paraId="1A9073FA" w14:textId="77777777" w:rsidR="00D65C3E" w:rsidRPr="009D5E2B" w:rsidRDefault="00D65C3E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2025 (T2)</w:t>
            </w:r>
          </w:p>
        </w:tc>
      </w:tr>
      <w:tr w:rsidR="003C6865" w:rsidRPr="009D5E2B" w14:paraId="1C275F00" w14:textId="77777777" w:rsidTr="0012059A">
        <w:tc>
          <w:tcPr>
            <w:tcW w:w="852" w:type="dxa"/>
          </w:tcPr>
          <w:p w14:paraId="3C51BD1C" w14:textId="77777777" w:rsidR="00D65C3E" w:rsidRPr="009D5E2B" w:rsidRDefault="00D65C3E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 w14:paraId="26D0A92D" w14:textId="77777777" w:rsidR="00D65C3E" w:rsidRPr="009D5E2B" w:rsidRDefault="00217E68" w:rsidP="00FB0A5B">
            <w:pPr>
              <w:rPr>
                <w:rFonts w:ascii="Arial" w:hAnsi="Arial" w:cs="Arial"/>
              </w:rPr>
            </w:pPr>
            <w:r w:rsidRPr="009D5E2B">
              <w:rPr>
                <w:rFonts w:ascii="Arial" w:hAnsi="Arial" w:cs="Arial"/>
              </w:rPr>
              <w:t>Réorganisation de</w:t>
            </w:r>
            <w:r w:rsidR="00D65C3E" w:rsidRPr="009D5E2B">
              <w:rPr>
                <w:rFonts w:ascii="Arial" w:hAnsi="Arial" w:cs="Arial"/>
              </w:rPr>
              <w:t xml:space="preserve"> la gestion des ouvrages d’eau marchands en clarifiant les rôles et en renforçant le suivi local.</w:t>
            </w:r>
          </w:p>
        </w:tc>
        <w:tc>
          <w:tcPr>
            <w:tcW w:w="6680" w:type="dxa"/>
            <w:vAlign w:val="center"/>
          </w:tcPr>
          <w:p w14:paraId="2DF6DA32" w14:textId="77777777" w:rsidR="00D65C3E" w:rsidRPr="009D5E2B" w:rsidRDefault="00D65C3E" w:rsidP="00FB0A5B">
            <w:pPr>
              <w:rPr>
                <w:rFonts w:ascii="Arial" w:hAnsi="Arial" w:cs="Arial"/>
              </w:rPr>
            </w:pPr>
            <w:r w:rsidRPr="009D5E2B">
              <w:rPr>
                <w:rFonts w:ascii="Arial" w:hAnsi="Arial" w:cs="Arial"/>
                <w:bCs/>
              </w:rPr>
              <w:t>Réorganiser la gestion des infrastructures d’eau marchande en renforçant la coordination et la professionnalisation des acteurs.</w:t>
            </w:r>
          </w:p>
        </w:tc>
        <w:tc>
          <w:tcPr>
            <w:tcW w:w="3119" w:type="dxa"/>
          </w:tcPr>
          <w:p w14:paraId="721D8880" w14:textId="77777777" w:rsidR="00D65C3E" w:rsidRPr="009D5E2B" w:rsidRDefault="00D65C3E" w:rsidP="00FB0A5B">
            <w:pPr>
              <w:pStyle w:val="Titre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DAAF, chargé équipement marchands, Police Républicaine</w:t>
            </w:r>
          </w:p>
        </w:tc>
        <w:tc>
          <w:tcPr>
            <w:tcW w:w="1843" w:type="dxa"/>
          </w:tcPr>
          <w:p w14:paraId="720A9C9E" w14:textId="77777777" w:rsidR="00D65C3E" w:rsidRPr="009D5E2B" w:rsidRDefault="00D65C3E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2025 (T3) – 2026 (T1)</w:t>
            </w:r>
          </w:p>
        </w:tc>
      </w:tr>
      <w:tr w:rsidR="003C6865" w:rsidRPr="009D5E2B" w14:paraId="0FB63651" w14:textId="77777777" w:rsidTr="0012059A">
        <w:tc>
          <w:tcPr>
            <w:tcW w:w="852" w:type="dxa"/>
          </w:tcPr>
          <w:p w14:paraId="2D743162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 w:val="restart"/>
            <w:vAlign w:val="center"/>
          </w:tcPr>
          <w:p w14:paraId="5D9740C9" w14:textId="77777777" w:rsidR="00BD3418" w:rsidRPr="009D5E2B" w:rsidRDefault="00BD3418" w:rsidP="00FB0A5B">
            <w:pPr>
              <w:rPr>
                <w:rFonts w:ascii="Arial" w:hAnsi="Arial" w:cs="Arial"/>
              </w:rPr>
            </w:pPr>
            <w:r w:rsidRPr="009D5E2B">
              <w:rPr>
                <w:rFonts w:ascii="Arial" w:hAnsi="Arial" w:cs="Arial"/>
              </w:rPr>
              <w:t>Réalisation des actions de communication et de sensibilisation pour l’amélioration des recouvrements</w:t>
            </w:r>
          </w:p>
        </w:tc>
        <w:tc>
          <w:tcPr>
            <w:tcW w:w="6680" w:type="dxa"/>
          </w:tcPr>
          <w:p w14:paraId="0E9D441A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</w:pPr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 xml:space="preserve">Renforcer la sensibilisation fiscale par la communication, la redevabilité et l'engagement des groupes </w:t>
            </w:r>
            <w:proofErr w:type="gramStart"/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>cibles..</w:t>
            </w:r>
            <w:proofErr w:type="gramEnd"/>
          </w:p>
        </w:tc>
        <w:tc>
          <w:tcPr>
            <w:tcW w:w="3119" w:type="dxa"/>
            <w:vAlign w:val="center"/>
          </w:tcPr>
          <w:p w14:paraId="424A4E32" w14:textId="77777777" w:rsidR="00BD3418" w:rsidRPr="009D5E2B" w:rsidRDefault="00BD3418" w:rsidP="00FB0A5B">
            <w:pPr>
              <w:rPr>
                <w:rFonts w:ascii="Arial" w:eastAsia="Times New Roman" w:hAnsi="Arial" w:cs="Arial"/>
                <w:bCs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Cs/>
                <w:szCs w:val="24"/>
                <w:lang w:eastAsia="fr-FR"/>
              </w:rPr>
              <w:t>SE, CIPE, DAAF, DDLP, RP, C/SAEM, Groupes cibles, Société civile, Élus communaux</w:t>
            </w:r>
          </w:p>
        </w:tc>
        <w:tc>
          <w:tcPr>
            <w:tcW w:w="1843" w:type="dxa"/>
            <w:vAlign w:val="center"/>
          </w:tcPr>
          <w:p w14:paraId="37A6A935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2025 (T2 et T4</w:t>
            </w:r>
            <w:proofErr w:type="gramStart"/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>),  2026</w:t>
            </w:r>
            <w:proofErr w:type="gramEnd"/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 xml:space="preserve"> (T2 et T4), </w:t>
            </w:r>
          </w:p>
        </w:tc>
      </w:tr>
      <w:tr w:rsidR="003C6865" w:rsidRPr="009D5E2B" w14:paraId="3FE38769" w14:textId="77777777" w:rsidTr="0012059A">
        <w:tc>
          <w:tcPr>
            <w:tcW w:w="852" w:type="dxa"/>
          </w:tcPr>
          <w:p w14:paraId="5C4E6FA8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3" w:type="dxa"/>
            <w:vMerge/>
          </w:tcPr>
          <w:p w14:paraId="481E5CA4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80" w:type="dxa"/>
          </w:tcPr>
          <w:p w14:paraId="4FD4ECE6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</w:pPr>
            <w:r w:rsidRPr="009D5E2B">
              <w:rPr>
                <w:rFonts w:ascii="Arial" w:eastAsiaTheme="minorHAnsi" w:hAnsi="Arial" w:cs="Arial"/>
                <w:b w:val="0"/>
                <w:sz w:val="22"/>
                <w:szCs w:val="22"/>
                <w:lang w:eastAsia="en-US"/>
              </w:rPr>
              <w:t>Structurer la gouvernance locale via les instances légales, les partenariats techniques et la société civile</w:t>
            </w:r>
          </w:p>
        </w:tc>
        <w:tc>
          <w:tcPr>
            <w:tcW w:w="3119" w:type="dxa"/>
            <w:vAlign w:val="center"/>
          </w:tcPr>
          <w:p w14:paraId="36910DEB" w14:textId="77777777" w:rsidR="00BD3418" w:rsidRPr="009D5E2B" w:rsidRDefault="00BD3418" w:rsidP="00FB0A5B">
            <w:pPr>
              <w:rPr>
                <w:rFonts w:ascii="Arial" w:eastAsia="Times New Roman" w:hAnsi="Arial" w:cs="Arial"/>
                <w:bCs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Cs/>
                <w:szCs w:val="24"/>
                <w:lang w:eastAsia="fr-FR"/>
              </w:rPr>
              <w:t>Maire, SE, CIPE, DAAF, Eaux &amp; Forêts, CS, CC, Préfet, DDLP, RP, Société civile, Élus communaux</w:t>
            </w:r>
          </w:p>
        </w:tc>
        <w:tc>
          <w:tcPr>
            <w:tcW w:w="1843" w:type="dxa"/>
            <w:vAlign w:val="center"/>
          </w:tcPr>
          <w:p w14:paraId="75CFCC74" w14:textId="77777777" w:rsidR="00BD3418" w:rsidRPr="009D5E2B" w:rsidRDefault="00BD3418" w:rsidP="00FB0A5B">
            <w:pPr>
              <w:pStyle w:val="Titre2"/>
              <w:spacing w:before="0" w:beforeAutospacing="0" w:after="0" w:afterAutospacing="0" w:line="360" w:lineRule="auto"/>
              <w:rPr>
                <w:rFonts w:ascii="Arial" w:hAnsi="Arial" w:cs="Arial"/>
                <w:b w:val="0"/>
                <w:sz w:val="22"/>
                <w:szCs w:val="24"/>
              </w:rPr>
            </w:pPr>
            <w:r w:rsidRPr="009D5E2B">
              <w:rPr>
                <w:rFonts w:ascii="Arial" w:hAnsi="Arial" w:cs="Arial"/>
                <w:b w:val="0"/>
                <w:sz w:val="22"/>
                <w:szCs w:val="24"/>
              </w:rPr>
              <w:t xml:space="preserve">2025 (T1 et T2), </w:t>
            </w:r>
          </w:p>
        </w:tc>
      </w:tr>
    </w:tbl>
    <w:p w14:paraId="16CE97FF" w14:textId="63768466" w:rsidR="0012059A" w:rsidRDefault="0012059A" w:rsidP="00FB0A5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2024, chapitre 4.3 (tableaux d’activités planifiées)</w:t>
      </w:r>
    </w:p>
    <w:p w14:paraId="398FABD7" w14:textId="77777777" w:rsidR="00FB0A5B" w:rsidRPr="00FB0A5B" w:rsidRDefault="00FB0A5B" w:rsidP="00FB0A5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14:paraId="0EA9C4BE" w14:textId="77777777" w:rsidR="0012059A" w:rsidRPr="009D5E2B" w:rsidRDefault="0012059A" w:rsidP="00FB0A5B">
      <w:pPr>
        <w:pStyle w:val="Titre2"/>
        <w:numPr>
          <w:ilvl w:val="0"/>
          <w:numId w:val="19"/>
        </w:numPr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  <w:r w:rsidRPr="009D5E2B">
        <w:rPr>
          <w:rFonts w:ascii="Arial" w:hAnsi="Arial" w:cs="Arial"/>
          <w:sz w:val="24"/>
          <w:szCs w:val="24"/>
        </w:rPr>
        <w:t>Jeux d’acteurs et mécanisme de mise en œuvre</w:t>
      </w:r>
    </w:p>
    <w:tbl>
      <w:tblPr>
        <w:tblStyle w:val="Grilledutableau"/>
        <w:tblW w:w="14459" w:type="dxa"/>
        <w:tblInd w:w="-5" w:type="dxa"/>
        <w:tblLook w:val="04A0" w:firstRow="1" w:lastRow="0" w:firstColumn="1" w:lastColumn="0" w:noHBand="0" w:noVBand="1"/>
      </w:tblPr>
      <w:tblGrid>
        <w:gridCol w:w="7088"/>
        <w:gridCol w:w="7371"/>
      </w:tblGrid>
      <w:tr w:rsidR="003C6865" w:rsidRPr="009D5E2B" w14:paraId="03E62C28" w14:textId="77777777" w:rsidTr="009228FB">
        <w:tc>
          <w:tcPr>
            <w:tcW w:w="7088" w:type="dxa"/>
            <w:shd w:val="clear" w:color="auto" w:fill="E2EFD9" w:themeFill="accent6" w:themeFillTint="33"/>
            <w:vAlign w:val="center"/>
          </w:tcPr>
          <w:p w14:paraId="21ED5BDB" w14:textId="77777777" w:rsidR="0012059A" w:rsidRPr="009D5E2B" w:rsidRDefault="0012059A" w:rsidP="00FB0A5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Acteurs</w:t>
            </w:r>
          </w:p>
        </w:tc>
        <w:tc>
          <w:tcPr>
            <w:tcW w:w="7371" w:type="dxa"/>
            <w:shd w:val="clear" w:color="auto" w:fill="E2EFD9" w:themeFill="accent6" w:themeFillTint="33"/>
            <w:vAlign w:val="center"/>
          </w:tcPr>
          <w:p w14:paraId="29E9A831" w14:textId="77777777" w:rsidR="0012059A" w:rsidRPr="009D5E2B" w:rsidRDefault="0012059A" w:rsidP="00FB0A5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Rôles</w:t>
            </w:r>
          </w:p>
        </w:tc>
      </w:tr>
      <w:tr w:rsidR="003C6865" w:rsidRPr="009D5E2B" w14:paraId="2738174F" w14:textId="77777777" w:rsidTr="0012059A">
        <w:trPr>
          <w:trHeight w:val="421"/>
        </w:trPr>
        <w:tc>
          <w:tcPr>
            <w:tcW w:w="7088" w:type="dxa"/>
            <w:vAlign w:val="center"/>
          </w:tcPr>
          <w:p w14:paraId="3038B188" w14:textId="77777777" w:rsidR="0012059A" w:rsidRPr="009D5E2B" w:rsidRDefault="0012059A" w:rsidP="00FB0A5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Mairie (SE, RAAF, élus)</w:t>
            </w:r>
          </w:p>
        </w:tc>
        <w:tc>
          <w:tcPr>
            <w:tcW w:w="7371" w:type="dxa"/>
            <w:vAlign w:val="center"/>
          </w:tcPr>
          <w:p w14:paraId="09FF6E53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Pilotage général, coordination technique, animation du cadre local</w:t>
            </w:r>
          </w:p>
        </w:tc>
      </w:tr>
      <w:tr w:rsidR="003C6865" w:rsidRPr="009D5E2B" w14:paraId="33C0CD76" w14:textId="77777777" w:rsidTr="0012059A">
        <w:trPr>
          <w:trHeight w:val="115"/>
        </w:trPr>
        <w:tc>
          <w:tcPr>
            <w:tcW w:w="7088" w:type="dxa"/>
            <w:vAlign w:val="center"/>
          </w:tcPr>
          <w:p w14:paraId="2DE2EB2C" w14:textId="77777777" w:rsidR="0012059A" w:rsidRPr="009D5E2B" w:rsidRDefault="0012059A" w:rsidP="00FB0A5B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CIPE &amp; Impôts</w:t>
            </w:r>
          </w:p>
        </w:tc>
        <w:tc>
          <w:tcPr>
            <w:tcW w:w="7371" w:type="dxa"/>
            <w:vAlign w:val="center"/>
          </w:tcPr>
          <w:p w14:paraId="7564B6AC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Recensements, édition de rôles, recouvrement fiscal</w:t>
            </w:r>
          </w:p>
        </w:tc>
      </w:tr>
      <w:tr w:rsidR="003C6865" w:rsidRPr="009D5E2B" w14:paraId="38887E12" w14:textId="77777777" w:rsidTr="0012059A">
        <w:trPr>
          <w:trHeight w:val="405"/>
        </w:trPr>
        <w:tc>
          <w:tcPr>
            <w:tcW w:w="7088" w:type="dxa"/>
            <w:vAlign w:val="center"/>
          </w:tcPr>
          <w:p w14:paraId="0696EDC7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Syndicats de conducteurs, chefs d’arrondissements</w:t>
            </w:r>
          </w:p>
        </w:tc>
        <w:tc>
          <w:tcPr>
            <w:tcW w:w="7371" w:type="dxa"/>
            <w:vAlign w:val="center"/>
          </w:tcPr>
          <w:p w14:paraId="672CB0D3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Mobilisation communautaire, relais opérationnels</w:t>
            </w:r>
          </w:p>
        </w:tc>
      </w:tr>
      <w:tr w:rsidR="003C6865" w:rsidRPr="009D5E2B" w14:paraId="402DF075" w14:textId="77777777" w:rsidTr="0012059A">
        <w:trPr>
          <w:trHeight w:val="410"/>
        </w:trPr>
        <w:tc>
          <w:tcPr>
            <w:tcW w:w="7088" w:type="dxa"/>
            <w:vAlign w:val="center"/>
          </w:tcPr>
          <w:p w14:paraId="67595633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Partenaires (ACAD, AGORA/DDC)</w:t>
            </w:r>
          </w:p>
        </w:tc>
        <w:tc>
          <w:tcPr>
            <w:tcW w:w="7371" w:type="dxa"/>
            <w:vAlign w:val="center"/>
          </w:tcPr>
          <w:p w14:paraId="694CBE50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Appui technique, formation, digitalisation, financement ciblé</w:t>
            </w:r>
          </w:p>
        </w:tc>
      </w:tr>
      <w:tr w:rsidR="003C6865" w:rsidRPr="009D5E2B" w14:paraId="2ED9C909" w14:textId="77777777" w:rsidTr="009228FB">
        <w:trPr>
          <w:trHeight w:val="417"/>
        </w:trPr>
        <w:tc>
          <w:tcPr>
            <w:tcW w:w="7088" w:type="dxa"/>
            <w:vAlign w:val="center"/>
          </w:tcPr>
          <w:p w14:paraId="3D6E99D6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Comités &amp; Services techniques</w:t>
            </w:r>
          </w:p>
        </w:tc>
        <w:tc>
          <w:tcPr>
            <w:tcW w:w="7371" w:type="dxa"/>
            <w:vAlign w:val="center"/>
          </w:tcPr>
          <w:p w14:paraId="57107EB5" w14:textId="77777777" w:rsidR="0012059A" w:rsidRPr="009D5E2B" w:rsidRDefault="0012059A" w:rsidP="00FB0A5B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fr-FR"/>
              </w:rPr>
            </w:pPr>
            <w:r w:rsidRPr="009D5E2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>Collecte, surveillance, mise à jour des répertoires</w:t>
            </w:r>
          </w:p>
        </w:tc>
      </w:tr>
    </w:tbl>
    <w:p w14:paraId="74022B98" w14:textId="02D20936" w:rsidR="0012059A" w:rsidRPr="00FB0A5B" w:rsidRDefault="0012059A" w:rsidP="00FB0A5B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  <w:u w:val="single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2024, chapitre 5 (stratégie de mise en œuvre)</w:t>
      </w:r>
    </w:p>
    <w:p w14:paraId="124F5172" w14:textId="77777777" w:rsidR="00C80C11" w:rsidRPr="009D5E2B" w:rsidRDefault="00C80C11" w:rsidP="00FB0A5B">
      <w:pPr>
        <w:pStyle w:val="Titre2"/>
        <w:spacing w:before="0" w:beforeAutospacing="0" w:after="0" w:afterAutospacing="0" w:line="360" w:lineRule="auto"/>
        <w:ind w:left="709" w:hanging="283"/>
        <w:rPr>
          <w:rFonts w:ascii="Arial" w:hAnsi="Arial" w:cs="Arial"/>
          <w:sz w:val="24"/>
          <w:szCs w:val="24"/>
        </w:rPr>
        <w:sectPr w:rsidR="00C80C11" w:rsidRPr="009D5E2B" w:rsidSect="00C80C11">
          <w:pgSz w:w="16838" w:h="11906" w:orient="landscape"/>
          <w:pgMar w:top="1418" w:right="1134" w:bottom="1418" w:left="992" w:header="709" w:footer="709" w:gutter="0"/>
          <w:cols w:space="708"/>
          <w:docGrid w:linePitch="360"/>
        </w:sectPr>
      </w:pPr>
    </w:p>
    <w:p w14:paraId="07F43332" w14:textId="77777777" w:rsidR="00FC272B" w:rsidRPr="009D5E2B" w:rsidRDefault="00FC272B" w:rsidP="00FB0A5B">
      <w:pPr>
        <w:pStyle w:val="Titre2"/>
        <w:numPr>
          <w:ilvl w:val="0"/>
          <w:numId w:val="19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hanging="436"/>
        <w:rPr>
          <w:rFonts w:ascii="Arial" w:hAnsi="Arial" w:cs="Arial"/>
          <w:sz w:val="24"/>
          <w:szCs w:val="24"/>
        </w:rPr>
      </w:pPr>
      <w:r w:rsidRPr="009D5E2B">
        <w:rPr>
          <w:rFonts w:ascii="Arial" w:hAnsi="Arial" w:cs="Arial"/>
          <w:sz w:val="24"/>
          <w:szCs w:val="24"/>
        </w:rPr>
        <w:lastRenderedPageBreak/>
        <w:t>Indicateurs de performance et cibles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843"/>
        <w:gridCol w:w="1837"/>
      </w:tblGrid>
      <w:tr w:rsidR="003C6865" w:rsidRPr="00FB0A5B" w14:paraId="689BE086" w14:textId="77777777" w:rsidTr="00FB0A5B">
        <w:tc>
          <w:tcPr>
            <w:tcW w:w="3256" w:type="dxa"/>
            <w:shd w:val="clear" w:color="auto" w:fill="C5E0B3" w:themeFill="accent6" w:themeFillTint="66"/>
            <w:vAlign w:val="center"/>
          </w:tcPr>
          <w:p w14:paraId="3E5CC228" w14:textId="77777777" w:rsidR="00FC272B" w:rsidRPr="00FB0A5B" w:rsidRDefault="00FC272B" w:rsidP="00FB0A5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Fonts w:ascii="Arial" w:hAnsi="Arial" w:cs="Arial"/>
                <w:b/>
                <w:bCs/>
              </w:rPr>
              <w:t>Indicateur</w:t>
            </w:r>
          </w:p>
        </w:tc>
        <w:tc>
          <w:tcPr>
            <w:tcW w:w="2126" w:type="dxa"/>
            <w:shd w:val="clear" w:color="auto" w:fill="C5E0B3" w:themeFill="accent6" w:themeFillTint="66"/>
            <w:vAlign w:val="center"/>
          </w:tcPr>
          <w:p w14:paraId="07914CD4" w14:textId="77777777" w:rsidR="00FC272B" w:rsidRPr="00FB0A5B" w:rsidRDefault="00FC272B" w:rsidP="00FB0A5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Fonts w:ascii="Arial" w:hAnsi="Arial" w:cs="Arial"/>
                <w:b/>
                <w:bCs/>
              </w:rPr>
              <w:t>Référence 2023</w:t>
            </w:r>
          </w:p>
        </w:tc>
        <w:tc>
          <w:tcPr>
            <w:tcW w:w="1843" w:type="dxa"/>
            <w:shd w:val="clear" w:color="auto" w:fill="C5E0B3" w:themeFill="accent6" w:themeFillTint="66"/>
            <w:vAlign w:val="center"/>
          </w:tcPr>
          <w:p w14:paraId="6C3D21C0" w14:textId="77777777" w:rsidR="00FC272B" w:rsidRPr="00FB0A5B" w:rsidRDefault="00FC272B" w:rsidP="00FB0A5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Fonts w:ascii="Arial" w:hAnsi="Arial" w:cs="Arial"/>
                <w:b/>
                <w:bCs/>
              </w:rPr>
              <w:t>Cible 2026</w:t>
            </w:r>
          </w:p>
        </w:tc>
        <w:tc>
          <w:tcPr>
            <w:tcW w:w="1837" w:type="dxa"/>
            <w:shd w:val="clear" w:color="auto" w:fill="C5E0B3" w:themeFill="accent6" w:themeFillTint="66"/>
            <w:vAlign w:val="center"/>
          </w:tcPr>
          <w:p w14:paraId="0044C08F" w14:textId="77777777" w:rsidR="00FC272B" w:rsidRPr="00FB0A5B" w:rsidRDefault="00FC272B" w:rsidP="00FB0A5B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B0A5B">
              <w:rPr>
                <w:rFonts w:ascii="Arial" w:hAnsi="Arial" w:cs="Arial"/>
                <w:b/>
                <w:bCs/>
              </w:rPr>
              <w:t>Fréquence</w:t>
            </w:r>
          </w:p>
        </w:tc>
      </w:tr>
      <w:tr w:rsidR="003C6865" w:rsidRPr="00FB0A5B" w14:paraId="28BEB70C" w14:textId="77777777" w:rsidTr="001C2B0C">
        <w:trPr>
          <w:trHeight w:val="527"/>
        </w:trPr>
        <w:tc>
          <w:tcPr>
            <w:tcW w:w="3256" w:type="dxa"/>
            <w:vAlign w:val="center"/>
          </w:tcPr>
          <w:p w14:paraId="3F0165D3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Taux de mobilisation RF</w:t>
            </w:r>
          </w:p>
        </w:tc>
        <w:tc>
          <w:tcPr>
            <w:tcW w:w="2126" w:type="dxa"/>
            <w:vAlign w:val="center"/>
          </w:tcPr>
          <w:p w14:paraId="33AC1C28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29,4 %</w:t>
            </w:r>
          </w:p>
        </w:tc>
        <w:tc>
          <w:tcPr>
            <w:tcW w:w="1843" w:type="dxa"/>
            <w:vAlign w:val="center"/>
          </w:tcPr>
          <w:p w14:paraId="6CC0EF76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≥ 60 %</w:t>
            </w:r>
          </w:p>
        </w:tc>
        <w:tc>
          <w:tcPr>
            <w:tcW w:w="1837" w:type="dxa"/>
            <w:vAlign w:val="center"/>
          </w:tcPr>
          <w:p w14:paraId="40AF8644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Annuelle</w:t>
            </w:r>
          </w:p>
        </w:tc>
      </w:tr>
      <w:tr w:rsidR="003C6865" w:rsidRPr="00FB0A5B" w14:paraId="36EFA7A3" w14:textId="77777777" w:rsidTr="001C2B0C">
        <w:trPr>
          <w:trHeight w:val="549"/>
        </w:trPr>
        <w:tc>
          <w:tcPr>
            <w:tcW w:w="3256" w:type="dxa"/>
            <w:vAlign w:val="center"/>
          </w:tcPr>
          <w:p w14:paraId="378100C1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Taux de mobilisation RNF</w:t>
            </w:r>
          </w:p>
        </w:tc>
        <w:tc>
          <w:tcPr>
            <w:tcW w:w="2126" w:type="dxa"/>
            <w:vAlign w:val="center"/>
          </w:tcPr>
          <w:p w14:paraId="6B06CB32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45,3 %</w:t>
            </w:r>
          </w:p>
        </w:tc>
        <w:tc>
          <w:tcPr>
            <w:tcW w:w="1843" w:type="dxa"/>
            <w:vAlign w:val="center"/>
          </w:tcPr>
          <w:p w14:paraId="7EAE2A42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≥ 75 %</w:t>
            </w:r>
          </w:p>
        </w:tc>
        <w:tc>
          <w:tcPr>
            <w:tcW w:w="1837" w:type="dxa"/>
            <w:vAlign w:val="center"/>
          </w:tcPr>
          <w:p w14:paraId="7A9811C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Annuelle</w:t>
            </w:r>
          </w:p>
        </w:tc>
      </w:tr>
      <w:tr w:rsidR="003C6865" w:rsidRPr="00FB0A5B" w14:paraId="4A951300" w14:textId="77777777" w:rsidTr="001C2B0C">
        <w:tc>
          <w:tcPr>
            <w:tcW w:w="3256" w:type="dxa"/>
            <w:vAlign w:val="center"/>
          </w:tcPr>
          <w:p w14:paraId="22FEDAAE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Proportion RF/RNF</w:t>
            </w:r>
          </w:p>
        </w:tc>
        <w:tc>
          <w:tcPr>
            <w:tcW w:w="2126" w:type="dxa"/>
            <w:vAlign w:val="center"/>
          </w:tcPr>
          <w:p w14:paraId="2617FD1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33 % / 67 %</w:t>
            </w:r>
          </w:p>
        </w:tc>
        <w:tc>
          <w:tcPr>
            <w:tcW w:w="1843" w:type="dxa"/>
            <w:vAlign w:val="center"/>
          </w:tcPr>
          <w:p w14:paraId="0155E1F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50 % / 50 %</w:t>
            </w:r>
          </w:p>
        </w:tc>
        <w:tc>
          <w:tcPr>
            <w:tcW w:w="1837" w:type="dxa"/>
            <w:vAlign w:val="center"/>
          </w:tcPr>
          <w:p w14:paraId="56CB269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Annuelle</w:t>
            </w:r>
          </w:p>
        </w:tc>
      </w:tr>
      <w:tr w:rsidR="003C6865" w:rsidRPr="00FB0A5B" w14:paraId="75AC58A3" w14:textId="77777777" w:rsidTr="001C2B0C">
        <w:tc>
          <w:tcPr>
            <w:tcW w:w="3256" w:type="dxa"/>
            <w:vAlign w:val="center"/>
          </w:tcPr>
          <w:p w14:paraId="5406D49F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Taux de couverture TFU</w:t>
            </w:r>
          </w:p>
        </w:tc>
        <w:tc>
          <w:tcPr>
            <w:tcW w:w="2126" w:type="dxa"/>
            <w:vAlign w:val="center"/>
          </w:tcPr>
          <w:p w14:paraId="2517A7A3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Faible</w:t>
            </w:r>
          </w:p>
        </w:tc>
        <w:tc>
          <w:tcPr>
            <w:tcW w:w="1843" w:type="dxa"/>
            <w:vAlign w:val="center"/>
          </w:tcPr>
          <w:p w14:paraId="1786E3D2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≥ 50 %</w:t>
            </w:r>
          </w:p>
        </w:tc>
        <w:tc>
          <w:tcPr>
            <w:tcW w:w="1837" w:type="dxa"/>
            <w:vAlign w:val="center"/>
          </w:tcPr>
          <w:p w14:paraId="2CDEAD55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Annuelle</w:t>
            </w:r>
          </w:p>
        </w:tc>
      </w:tr>
      <w:tr w:rsidR="003C6865" w:rsidRPr="00FB0A5B" w14:paraId="70F10D75" w14:textId="77777777" w:rsidTr="001C2B0C">
        <w:tc>
          <w:tcPr>
            <w:tcW w:w="3256" w:type="dxa"/>
            <w:vAlign w:val="center"/>
          </w:tcPr>
          <w:p w14:paraId="6FD15F58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Réunions du cadre de concertation</w:t>
            </w:r>
          </w:p>
        </w:tc>
        <w:tc>
          <w:tcPr>
            <w:tcW w:w="2126" w:type="dxa"/>
            <w:vAlign w:val="center"/>
          </w:tcPr>
          <w:p w14:paraId="4E43B62B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16B06B90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≥ 4/an</w:t>
            </w:r>
          </w:p>
        </w:tc>
        <w:tc>
          <w:tcPr>
            <w:tcW w:w="1837" w:type="dxa"/>
            <w:vAlign w:val="center"/>
          </w:tcPr>
          <w:p w14:paraId="091B21EC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Trimestrielle</w:t>
            </w:r>
          </w:p>
        </w:tc>
      </w:tr>
      <w:tr w:rsidR="003C6865" w:rsidRPr="00FB0A5B" w14:paraId="7DAB2801" w14:textId="77777777" w:rsidTr="001C2B0C">
        <w:tc>
          <w:tcPr>
            <w:tcW w:w="3256" w:type="dxa"/>
            <w:vAlign w:val="center"/>
          </w:tcPr>
          <w:p w14:paraId="6A9E4094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Digitalisation active (TAR, base)</w:t>
            </w:r>
          </w:p>
        </w:tc>
        <w:tc>
          <w:tcPr>
            <w:tcW w:w="2126" w:type="dxa"/>
            <w:vAlign w:val="center"/>
          </w:tcPr>
          <w:p w14:paraId="5420705D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Non</w:t>
            </w:r>
          </w:p>
        </w:tc>
        <w:tc>
          <w:tcPr>
            <w:tcW w:w="1843" w:type="dxa"/>
            <w:vAlign w:val="center"/>
          </w:tcPr>
          <w:p w14:paraId="7B8390A0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r w:rsidRPr="00FB0A5B">
              <w:rPr>
                <w:rFonts w:ascii="Arial" w:hAnsi="Arial" w:cs="Arial"/>
              </w:rPr>
              <w:t>Oui</w:t>
            </w:r>
          </w:p>
        </w:tc>
        <w:tc>
          <w:tcPr>
            <w:tcW w:w="1837" w:type="dxa"/>
            <w:vAlign w:val="center"/>
          </w:tcPr>
          <w:p w14:paraId="01503919" w14:textId="77777777" w:rsidR="00FC272B" w:rsidRPr="00FB0A5B" w:rsidRDefault="00FC272B" w:rsidP="00FB0A5B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FB0A5B">
              <w:rPr>
                <w:rFonts w:ascii="Arial" w:hAnsi="Arial" w:cs="Arial"/>
              </w:rPr>
              <w:t>permanente</w:t>
            </w:r>
            <w:proofErr w:type="gramEnd"/>
          </w:p>
        </w:tc>
      </w:tr>
    </w:tbl>
    <w:p w14:paraId="2A2AA9D9" w14:textId="40318787" w:rsidR="00FC272B" w:rsidRPr="00FB0A5B" w:rsidRDefault="00FC272B" w:rsidP="00FB0A5B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  <w:r w:rsidRPr="00FB0A5B">
        <w:rPr>
          <w:rStyle w:val="lev"/>
          <w:rFonts w:ascii="Arial" w:hAnsi="Arial" w:cs="Arial"/>
          <w:sz w:val="20"/>
          <w:szCs w:val="20"/>
        </w:rPr>
        <w:t>Source</w:t>
      </w:r>
      <w:r w:rsidRPr="00FB0A5B">
        <w:rPr>
          <w:rFonts w:ascii="Arial" w:hAnsi="Arial" w:cs="Arial"/>
          <w:sz w:val="20"/>
          <w:szCs w:val="20"/>
        </w:rPr>
        <w:t xml:space="preserve"> : Rapport EGF et PSMR </w:t>
      </w:r>
      <w:proofErr w:type="spellStart"/>
      <w:r w:rsidRPr="00FB0A5B">
        <w:rPr>
          <w:rFonts w:ascii="Arial" w:hAnsi="Arial" w:cs="Arial"/>
          <w:sz w:val="20"/>
          <w:szCs w:val="20"/>
        </w:rPr>
        <w:t>Copargo</w:t>
      </w:r>
      <w:proofErr w:type="spellEnd"/>
      <w:r w:rsidRPr="00FB0A5B">
        <w:rPr>
          <w:rFonts w:ascii="Arial" w:hAnsi="Arial" w:cs="Arial"/>
          <w:sz w:val="20"/>
          <w:szCs w:val="20"/>
        </w:rPr>
        <w:t>, 2024, chapitre 4.4</w:t>
      </w:r>
    </w:p>
    <w:p w14:paraId="41C2B609" w14:textId="77777777" w:rsidR="00FC272B" w:rsidRPr="009D5E2B" w:rsidRDefault="00FC272B" w:rsidP="00FB0A5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CE46B1" w14:textId="77777777" w:rsidR="00FC272B" w:rsidRPr="009D5E2B" w:rsidRDefault="00FC272B" w:rsidP="00FB0A5B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0EA09E33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  <w:r w:rsidRPr="00C7748E"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  <w:t xml:space="preserve">      </w:t>
      </w:r>
    </w:p>
    <w:p w14:paraId="69207F96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0045F731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10C4750F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2702269D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6D0FE84E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13102E20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48A76D4F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19A52819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4B0B084F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357AE2D2" w14:textId="1A258977" w:rsidR="00256F8C" w:rsidRDefault="00256F8C" w:rsidP="00C7748E">
      <w:pPr>
        <w:spacing w:after="0" w:line="36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6CAA4FA9" w14:textId="77777777" w:rsidR="00C7748E" w:rsidRPr="00C7748E" w:rsidRDefault="00C7748E" w:rsidP="00C7748E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2339DDB3" w14:textId="77777777" w:rsidR="00C7748E" w:rsidRPr="00C7748E" w:rsidRDefault="00C7748E" w:rsidP="00C7748E">
      <w:pPr>
        <w:rPr>
          <w:rFonts w:ascii="Arial" w:eastAsia="Times New Roman" w:hAnsi="Arial" w:cs="Arial"/>
          <w:sz w:val="24"/>
          <w:szCs w:val="24"/>
          <w:lang w:eastAsia="fr-FR"/>
        </w:rPr>
      </w:pPr>
    </w:p>
    <w:p w14:paraId="3018CA17" w14:textId="77777777" w:rsidR="00C7748E" w:rsidRDefault="00C7748E" w:rsidP="00C7748E">
      <w:pPr>
        <w:spacing w:after="0" w:line="360" w:lineRule="auto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420DB337" w14:textId="77777777" w:rsid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sz w:val="24"/>
          <w:szCs w:val="24"/>
          <w:lang w:eastAsia="fr-FR"/>
        </w:rPr>
      </w:pPr>
    </w:p>
    <w:p w14:paraId="22A11D2C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i/>
          <w:iCs/>
          <w:lang w:eastAsia="fr-FR"/>
        </w:rPr>
      </w:pPr>
      <w:r>
        <w:rPr>
          <w:rFonts w:ascii="Arial" w:eastAsia="Times New Roman" w:hAnsi="Arial" w:cs="Arial"/>
          <w:b/>
          <w:bCs/>
          <w:i/>
          <w:iCs/>
          <w:lang w:eastAsia="fr-FR"/>
        </w:rPr>
        <w:t xml:space="preserve">                    </w:t>
      </w:r>
      <w:r w:rsidRPr="00C7748E">
        <w:rPr>
          <w:rFonts w:ascii="Arial" w:eastAsia="Times New Roman" w:hAnsi="Arial" w:cs="Arial"/>
          <w:b/>
          <w:bCs/>
          <w:i/>
          <w:iCs/>
          <w:lang w:eastAsia="fr-FR"/>
        </w:rPr>
        <w:t>REALISE AVEC LE SOUTIEN TECHNIQUE ET FINANCIER DE :</w:t>
      </w:r>
    </w:p>
    <w:p w14:paraId="19E8F2CF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C7748E">
        <w:rPr>
          <w:rFonts w:ascii="Arial" w:eastAsia="Times New Roman" w:hAnsi="Arial" w:cs="Arial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0" allowOverlap="1" wp14:anchorId="1AB27407" wp14:editId="0D40AA57">
            <wp:simplePos x="0" y="0"/>
            <wp:positionH relativeFrom="page">
              <wp:posOffset>4046220</wp:posOffset>
            </wp:positionH>
            <wp:positionV relativeFrom="paragraph">
              <wp:posOffset>71755</wp:posOffset>
            </wp:positionV>
            <wp:extent cx="1351915" cy="640080"/>
            <wp:effectExtent l="0" t="0" r="635" b="7620"/>
            <wp:wrapSquare wrapText="bothSides"/>
            <wp:docPr id="190245001" name="Image 6" descr="Une image contenant texte, Police, capture d’écran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5001" name="Image 6" descr="Une image contenant texte, Police, capture d’écran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748E">
        <w:rPr>
          <w:rFonts w:ascii="Arial" w:eastAsia="Times New Roman" w:hAnsi="Arial" w:cs="Arial"/>
          <w:b/>
          <w:bCs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3DEB275B" wp14:editId="5EB97EC1">
            <wp:simplePos x="0" y="0"/>
            <wp:positionH relativeFrom="column">
              <wp:posOffset>1691005</wp:posOffset>
            </wp:positionH>
            <wp:positionV relativeFrom="paragraph">
              <wp:posOffset>71755</wp:posOffset>
            </wp:positionV>
            <wp:extent cx="768985" cy="777875"/>
            <wp:effectExtent l="0" t="0" r="0" b="3175"/>
            <wp:wrapSquare wrapText="bothSides"/>
            <wp:docPr id="120776025" name="Image 5" descr="Une image contenant symbole, Graphique, cerc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76025" name="Image 5" descr="Une image contenant symbole, Graphique, cercl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7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7B02A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59EE013D" w14:textId="77777777" w:rsidR="00C7748E" w:rsidRPr="00C7748E" w:rsidRDefault="00C7748E" w:rsidP="00C7748E">
      <w:pPr>
        <w:spacing w:after="0" w:line="360" w:lineRule="auto"/>
        <w:ind w:left="360"/>
        <w:outlineLvl w:val="2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</w:p>
    <w:p w14:paraId="07E9D18D" w14:textId="77777777" w:rsidR="00C7748E" w:rsidRPr="00C7748E" w:rsidRDefault="00C7748E" w:rsidP="00C7748E">
      <w:pPr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sectPr w:rsidR="00C7748E" w:rsidRPr="00C7748E" w:rsidSect="00A03DA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D5B"/>
    <w:multiLevelType w:val="multilevel"/>
    <w:tmpl w:val="6CB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A6D03"/>
    <w:multiLevelType w:val="multilevel"/>
    <w:tmpl w:val="B7E2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2C6F"/>
    <w:multiLevelType w:val="multilevel"/>
    <w:tmpl w:val="CA00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E022B"/>
    <w:multiLevelType w:val="multilevel"/>
    <w:tmpl w:val="A8CE5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873B2"/>
    <w:multiLevelType w:val="hybridMultilevel"/>
    <w:tmpl w:val="6ED2F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276B0"/>
    <w:multiLevelType w:val="multilevel"/>
    <w:tmpl w:val="058C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11C5F"/>
    <w:multiLevelType w:val="multilevel"/>
    <w:tmpl w:val="3E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A7E88"/>
    <w:multiLevelType w:val="multilevel"/>
    <w:tmpl w:val="EB26B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27E0B"/>
    <w:multiLevelType w:val="hybridMultilevel"/>
    <w:tmpl w:val="FE8AB5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13642"/>
    <w:multiLevelType w:val="hybridMultilevel"/>
    <w:tmpl w:val="B75E3162"/>
    <w:lvl w:ilvl="0" w:tplc="2162166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2422E"/>
    <w:multiLevelType w:val="multilevel"/>
    <w:tmpl w:val="4944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14063"/>
    <w:multiLevelType w:val="multilevel"/>
    <w:tmpl w:val="C25C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2208D"/>
    <w:multiLevelType w:val="hybridMultilevel"/>
    <w:tmpl w:val="F38E186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635C7"/>
    <w:multiLevelType w:val="hybridMultilevel"/>
    <w:tmpl w:val="A3208606"/>
    <w:lvl w:ilvl="0" w:tplc="30EAD9F2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65D29"/>
    <w:multiLevelType w:val="hybridMultilevel"/>
    <w:tmpl w:val="7CA2B9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47FF3"/>
    <w:multiLevelType w:val="hybridMultilevel"/>
    <w:tmpl w:val="2376ED0A"/>
    <w:lvl w:ilvl="0" w:tplc="512EB016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8662BB"/>
    <w:multiLevelType w:val="hybridMultilevel"/>
    <w:tmpl w:val="B49E84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5C00"/>
    <w:multiLevelType w:val="multilevel"/>
    <w:tmpl w:val="665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E5435"/>
    <w:multiLevelType w:val="multilevel"/>
    <w:tmpl w:val="1C7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D330A1"/>
    <w:multiLevelType w:val="multilevel"/>
    <w:tmpl w:val="76262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35382E"/>
    <w:multiLevelType w:val="hybridMultilevel"/>
    <w:tmpl w:val="43F44E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4071A5"/>
    <w:multiLevelType w:val="multilevel"/>
    <w:tmpl w:val="4CD8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4272AB"/>
    <w:multiLevelType w:val="multilevel"/>
    <w:tmpl w:val="A9C8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9848538">
    <w:abstractNumId w:val="5"/>
  </w:num>
  <w:num w:numId="2" w16cid:durableId="905146463">
    <w:abstractNumId w:val="1"/>
  </w:num>
  <w:num w:numId="3" w16cid:durableId="340400916">
    <w:abstractNumId w:val="22"/>
  </w:num>
  <w:num w:numId="4" w16cid:durableId="583609944">
    <w:abstractNumId w:val="0"/>
  </w:num>
  <w:num w:numId="5" w16cid:durableId="1629895558">
    <w:abstractNumId w:val="2"/>
  </w:num>
  <w:num w:numId="6" w16cid:durableId="801070284">
    <w:abstractNumId w:val="17"/>
  </w:num>
  <w:num w:numId="7" w16cid:durableId="934363657">
    <w:abstractNumId w:val="7"/>
  </w:num>
  <w:num w:numId="8" w16cid:durableId="1901165725">
    <w:abstractNumId w:val="21"/>
  </w:num>
  <w:num w:numId="9" w16cid:durableId="803499935">
    <w:abstractNumId w:val="10"/>
  </w:num>
  <w:num w:numId="10" w16cid:durableId="1779830392">
    <w:abstractNumId w:val="11"/>
  </w:num>
  <w:num w:numId="11" w16cid:durableId="253517668">
    <w:abstractNumId w:val="18"/>
  </w:num>
  <w:num w:numId="12" w16cid:durableId="31737894">
    <w:abstractNumId w:val="6"/>
  </w:num>
  <w:num w:numId="13" w16cid:durableId="1227885772">
    <w:abstractNumId w:val="19"/>
  </w:num>
  <w:num w:numId="14" w16cid:durableId="1482581454">
    <w:abstractNumId w:val="8"/>
  </w:num>
  <w:num w:numId="15" w16cid:durableId="116996636">
    <w:abstractNumId w:val="9"/>
  </w:num>
  <w:num w:numId="16" w16cid:durableId="1773472934">
    <w:abstractNumId w:val="20"/>
  </w:num>
  <w:num w:numId="17" w16cid:durableId="436483370">
    <w:abstractNumId w:val="14"/>
  </w:num>
  <w:num w:numId="18" w16cid:durableId="2054696790">
    <w:abstractNumId w:val="13"/>
  </w:num>
  <w:num w:numId="19" w16cid:durableId="1831948920">
    <w:abstractNumId w:val="3"/>
  </w:num>
  <w:num w:numId="20" w16cid:durableId="223758206">
    <w:abstractNumId w:val="15"/>
  </w:num>
  <w:num w:numId="21" w16cid:durableId="1683124084">
    <w:abstractNumId w:val="16"/>
  </w:num>
  <w:num w:numId="22" w16cid:durableId="1496335708">
    <w:abstractNumId w:val="4"/>
  </w:num>
  <w:num w:numId="23" w16cid:durableId="1589924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0E"/>
    <w:rsid w:val="00071BAE"/>
    <w:rsid w:val="0012059A"/>
    <w:rsid w:val="0014216A"/>
    <w:rsid w:val="00193D31"/>
    <w:rsid w:val="001A6D4B"/>
    <w:rsid w:val="001B2668"/>
    <w:rsid w:val="001C2B0C"/>
    <w:rsid w:val="001D5A7B"/>
    <w:rsid w:val="001F6279"/>
    <w:rsid w:val="00207778"/>
    <w:rsid w:val="002152A8"/>
    <w:rsid w:val="0021785F"/>
    <w:rsid w:val="00217E68"/>
    <w:rsid w:val="0022472E"/>
    <w:rsid w:val="00226872"/>
    <w:rsid w:val="002354C5"/>
    <w:rsid w:val="00256F8C"/>
    <w:rsid w:val="002A31C4"/>
    <w:rsid w:val="002B3498"/>
    <w:rsid w:val="002D2BC1"/>
    <w:rsid w:val="00332F71"/>
    <w:rsid w:val="003A3F52"/>
    <w:rsid w:val="003C6865"/>
    <w:rsid w:val="003C6943"/>
    <w:rsid w:val="003D29A5"/>
    <w:rsid w:val="00402BAB"/>
    <w:rsid w:val="00440732"/>
    <w:rsid w:val="00464A26"/>
    <w:rsid w:val="00470652"/>
    <w:rsid w:val="00477328"/>
    <w:rsid w:val="004C477F"/>
    <w:rsid w:val="00510E0E"/>
    <w:rsid w:val="00520CCB"/>
    <w:rsid w:val="005475AC"/>
    <w:rsid w:val="00552652"/>
    <w:rsid w:val="00582386"/>
    <w:rsid w:val="005E2F6B"/>
    <w:rsid w:val="005F040F"/>
    <w:rsid w:val="005F7C72"/>
    <w:rsid w:val="00625A51"/>
    <w:rsid w:val="006341B7"/>
    <w:rsid w:val="00646DA5"/>
    <w:rsid w:val="006D1ABE"/>
    <w:rsid w:val="006D6953"/>
    <w:rsid w:val="006F0791"/>
    <w:rsid w:val="00702D43"/>
    <w:rsid w:val="00716CE6"/>
    <w:rsid w:val="007342D2"/>
    <w:rsid w:val="007669E3"/>
    <w:rsid w:val="00770D9C"/>
    <w:rsid w:val="00774CD3"/>
    <w:rsid w:val="00787F0E"/>
    <w:rsid w:val="007A3C7A"/>
    <w:rsid w:val="007A70CF"/>
    <w:rsid w:val="007B17B2"/>
    <w:rsid w:val="007B3DD4"/>
    <w:rsid w:val="007E3E86"/>
    <w:rsid w:val="007E4E06"/>
    <w:rsid w:val="007E5DC3"/>
    <w:rsid w:val="00811DDE"/>
    <w:rsid w:val="00867C1B"/>
    <w:rsid w:val="008710D5"/>
    <w:rsid w:val="00874A12"/>
    <w:rsid w:val="00892DA9"/>
    <w:rsid w:val="008A50AA"/>
    <w:rsid w:val="008B2CE5"/>
    <w:rsid w:val="008D4120"/>
    <w:rsid w:val="009228FB"/>
    <w:rsid w:val="0092304F"/>
    <w:rsid w:val="00934116"/>
    <w:rsid w:val="00944B50"/>
    <w:rsid w:val="00946383"/>
    <w:rsid w:val="0095027F"/>
    <w:rsid w:val="00991E8B"/>
    <w:rsid w:val="00993224"/>
    <w:rsid w:val="009B451E"/>
    <w:rsid w:val="009D5E2B"/>
    <w:rsid w:val="009F494F"/>
    <w:rsid w:val="00A03DAF"/>
    <w:rsid w:val="00A11895"/>
    <w:rsid w:val="00A5423A"/>
    <w:rsid w:val="00A64157"/>
    <w:rsid w:val="00A71807"/>
    <w:rsid w:val="00A95121"/>
    <w:rsid w:val="00AB4677"/>
    <w:rsid w:val="00AD0F76"/>
    <w:rsid w:val="00AF4C9A"/>
    <w:rsid w:val="00B10311"/>
    <w:rsid w:val="00B40892"/>
    <w:rsid w:val="00B9389D"/>
    <w:rsid w:val="00BB43AA"/>
    <w:rsid w:val="00BD3418"/>
    <w:rsid w:val="00BD53EF"/>
    <w:rsid w:val="00BE6607"/>
    <w:rsid w:val="00C54653"/>
    <w:rsid w:val="00C77241"/>
    <w:rsid w:val="00C7748E"/>
    <w:rsid w:val="00C80C11"/>
    <w:rsid w:val="00C93739"/>
    <w:rsid w:val="00CF465C"/>
    <w:rsid w:val="00D27F0E"/>
    <w:rsid w:val="00D54227"/>
    <w:rsid w:val="00D65C3E"/>
    <w:rsid w:val="00D66AA2"/>
    <w:rsid w:val="00DA537B"/>
    <w:rsid w:val="00E17641"/>
    <w:rsid w:val="00E17DBF"/>
    <w:rsid w:val="00E237B8"/>
    <w:rsid w:val="00E3037A"/>
    <w:rsid w:val="00E3163D"/>
    <w:rsid w:val="00E35096"/>
    <w:rsid w:val="00E44139"/>
    <w:rsid w:val="00E530FF"/>
    <w:rsid w:val="00E81B35"/>
    <w:rsid w:val="00E84D33"/>
    <w:rsid w:val="00EC1235"/>
    <w:rsid w:val="00EF2A04"/>
    <w:rsid w:val="00F221F2"/>
    <w:rsid w:val="00FB0A5B"/>
    <w:rsid w:val="00FB4727"/>
    <w:rsid w:val="00FC272B"/>
    <w:rsid w:val="00FE0F20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8A5A4"/>
  <w15:chartTrackingRefBased/>
  <w15:docId w15:val="{1EC3AF03-97D8-4ABB-8C34-E56BD73A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256F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256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6F8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256F8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256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56F8C"/>
    <w:rPr>
      <w:b/>
      <w:bCs/>
    </w:rPr>
  </w:style>
  <w:style w:type="character" w:styleId="Accentuation">
    <w:name w:val="Emphasis"/>
    <w:basedOn w:val="Policepardfaut"/>
    <w:uiPriority w:val="20"/>
    <w:qFormat/>
    <w:rsid w:val="00256F8C"/>
    <w:rPr>
      <w:i/>
      <w:iCs/>
    </w:rPr>
  </w:style>
  <w:style w:type="paragraph" w:styleId="Paragraphedeliste">
    <w:name w:val="List Paragraph"/>
    <w:basedOn w:val="Normal"/>
    <w:uiPriority w:val="34"/>
    <w:qFormat/>
    <w:rsid w:val="00470652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p\Desktop\PASCAL\Graph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Evolution</a:t>
            </a:r>
            <a:r>
              <a:rPr lang="fr-FR" baseline="0"/>
              <a:t> des recettes propres  de Copargo de 2020 - 2023 </a:t>
            </a:r>
            <a:endParaRPr lang="fr-F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cked"/>
        <c:varyColors val="0"/>
        <c:ser>
          <c:idx val="0"/>
          <c:order val="0"/>
          <c:tx>
            <c:strRef>
              <c:f>'Copargo '!$C$6</c:f>
              <c:strCache>
                <c:ptCount val="1"/>
                <c:pt idx="0">
                  <c:v>Recettes fiscales (RF), en millions de FCFA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'Copargo '!$B$7:$B$10</c:f>
              <c:strCache>
                <c:ptCount val="4"/>
                <c:pt idx="0">
                  <c:v>Année20</c:v>
                </c:pt>
                <c:pt idx="1">
                  <c:v>Année21</c:v>
                </c:pt>
                <c:pt idx="2">
                  <c:v>Année22</c:v>
                </c:pt>
                <c:pt idx="3">
                  <c:v>Année23</c:v>
                </c:pt>
              </c:strCache>
            </c:strRef>
          </c:cat>
          <c:val>
            <c:numRef>
              <c:f>'Copargo '!$C$7:$C$10</c:f>
              <c:numCache>
                <c:formatCode>General</c:formatCode>
                <c:ptCount val="4"/>
                <c:pt idx="0">
                  <c:v>9.6850000000000005</c:v>
                </c:pt>
                <c:pt idx="1">
                  <c:v>17.323</c:v>
                </c:pt>
                <c:pt idx="2">
                  <c:v>9.3979999999999997</c:v>
                </c:pt>
                <c:pt idx="3">
                  <c:v>10.927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057-4777-AFBA-01F60AB8B7B6}"/>
            </c:ext>
          </c:extLst>
        </c:ser>
        <c:ser>
          <c:idx val="1"/>
          <c:order val="1"/>
          <c:tx>
            <c:strRef>
              <c:f>'Copargo '!$D$6</c:f>
              <c:strCache>
                <c:ptCount val="1"/>
                <c:pt idx="0">
                  <c:v>Recettes non fiscales (RNF), en millions de FCFA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'Copargo '!$B$7:$B$10</c:f>
              <c:strCache>
                <c:ptCount val="4"/>
                <c:pt idx="0">
                  <c:v>Année20</c:v>
                </c:pt>
                <c:pt idx="1">
                  <c:v>Année21</c:v>
                </c:pt>
                <c:pt idx="2">
                  <c:v>Année22</c:v>
                </c:pt>
                <c:pt idx="3">
                  <c:v>Année23</c:v>
                </c:pt>
              </c:strCache>
            </c:strRef>
          </c:cat>
          <c:val>
            <c:numRef>
              <c:f>'Copargo '!$D$7:$D$10</c:f>
              <c:numCache>
                <c:formatCode>General</c:formatCode>
                <c:ptCount val="4"/>
                <c:pt idx="0">
                  <c:v>17.498000000000001</c:v>
                </c:pt>
                <c:pt idx="1">
                  <c:v>22.655999999999999</c:v>
                </c:pt>
                <c:pt idx="2">
                  <c:v>18.396999999999998</c:v>
                </c:pt>
                <c:pt idx="3">
                  <c:v>35.628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057-4777-AFBA-01F60AB8B7B6}"/>
            </c:ext>
          </c:extLst>
        </c:ser>
        <c:ser>
          <c:idx val="2"/>
          <c:order val="2"/>
          <c:tx>
            <c:strRef>
              <c:f>'Copargo '!$E$6</c:f>
              <c:strCache>
                <c:ptCount val="1"/>
                <c:pt idx="0">
                  <c:v>Recettes propres totales, en millions de FCFA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'Copargo '!$B$7:$B$10</c:f>
              <c:strCache>
                <c:ptCount val="4"/>
                <c:pt idx="0">
                  <c:v>Année20</c:v>
                </c:pt>
                <c:pt idx="1">
                  <c:v>Année21</c:v>
                </c:pt>
                <c:pt idx="2">
                  <c:v>Année22</c:v>
                </c:pt>
                <c:pt idx="3">
                  <c:v>Année23</c:v>
                </c:pt>
              </c:strCache>
            </c:strRef>
          </c:cat>
          <c:val>
            <c:numRef>
              <c:f>'Copargo '!$E$7:$E$10</c:f>
              <c:numCache>
                <c:formatCode>General</c:formatCode>
                <c:ptCount val="4"/>
                <c:pt idx="0">
                  <c:v>27.183</c:v>
                </c:pt>
                <c:pt idx="1">
                  <c:v>39.978999999999999</c:v>
                </c:pt>
                <c:pt idx="2">
                  <c:v>27.795000000000002</c:v>
                </c:pt>
                <c:pt idx="3">
                  <c:v>46.555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057-4777-AFBA-01F60AB8B7B6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1462388879"/>
        <c:axId val="1462389359"/>
      </c:lineChart>
      <c:catAx>
        <c:axId val="1462388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62389359"/>
        <c:crosses val="autoZero"/>
        <c:auto val="1"/>
        <c:lblAlgn val="ctr"/>
        <c:lblOffset val="100"/>
        <c:noMultiLvlLbl val="0"/>
      </c:catAx>
      <c:valAx>
        <c:axId val="146238935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46238887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1330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</dc:creator>
  <cp:keywords/>
  <dc:description/>
  <cp:lastModifiedBy>Abdoul Aziz  ADEBI</cp:lastModifiedBy>
  <cp:revision>2</cp:revision>
  <dcterms:created xsi:type="dcterms:W3CDTF">2025-06-21T14:54:00Z</dcterms:created>
  <dcterms:modified xsi:type="dcterms:W3CDTF">2025-06-21T14:54:00Z</dcterms:modified>
</cp:coreProperties>
</file>