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744A" w14:textId="77777777" w:rsidR="008710D5" w:rsidRDefault="00FE0F20"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r>
        <w:rPr>
          <w:rFonts w:ascii="Arial" w:eastAsiaTheme="minorEastAsia" w:hAnsi="Arial" w:cs="Arial"/>
          <w:noProof/>
          <w:sz w:val="24"/>
          <w:szCs w:val="24"/>
          <w:u w:val="single"/>
          <w:lang w:eastAsia="fr-FR"/>
        </w:rPr>
        <w:drawing>
          <wp:anchor distT="0" distB="0" distL="114300" distR="114300" simplePos="0" relativeHeight="251661312" behindDoc="0" locked="0" layoutInCell="1" allowOverlap="1" wp14:anchorId="61BD8CBC" wp14:editId="3FCCF88A">
            <wp:simplePos x="0" y="0"/>
            <wp:positionH relativeFrom="page">
              <wp:posOffset>609600</wp:posOffset>
            </wp:positionH>
            <wp:positionV relativeFrom="paragraph">
              <wp:posOffset>-348615</wp:posOffset>
            </wp:positionV>
            <wp:extent cx="6410325" cy="885825"/>
            <wp:effectExtent l="0" t="0" r="9525"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885825"/>
                    </a:xfrm>
                    <a:prstGeom prst="rect">
                      <a:avLst/>
                    </a:prstGeom>
                    <a:noFill/>
                  </pic:spPr>
                </pic:pic>
              </a:graphicData>
            </a:graphic>
            <wp14:sizeRelH relativeFrom="margin">
              <wp14:pctWidth>0</wp14:pctWidth>
            </wp14:sizeRelH>
            <wp14:sizeRelV relativeFrom="margin">
              <wp14:pctHeight>0</wp14:pctHeight>
            </wp14:sizeRelV>
          </wp:anchor>
        </w:drawing>
      </w:r>
    </w:p>
    <w:p w14:paraId="6EF1225B" w14:textId="77777777" w:rsidR="008710D5" w:rsidRDefault="008710D5"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33BFF758" w14:textId="77777777" w:rsidR="008710D5" w:rsidRDefault="008710D5"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6680AF3A" w14:textId="77777777" w:rsidR="008710D5" w:rsidRDefault="008710D5"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71CF301D" w14:textId="77777777" w:rsidR="00993224" w:rsidRDefault="00993224"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3475C5E4" w14:textId="77777777" w:rsidR="00993224" w:rsidRDefault="00993224"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25359153" w14:textId="77777777" w:rsidR="00A71807" w:rsidRDefault="00A71807" w:rsidP="00811DDE">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1314DA4C" w14:textId="77777777" w:rsidR="00256F8C" w:rsidRDefault="00256F8C" w:rsidP="00464A26">
      <w:pPr>
        <w:pBdr>
          <w:bottom w:val="single" w:sz="4" w:space="1" w:color="auto"/>
        </w:pBdr>
        <w:spacing w:before="100" w:beforeAutospacing="1" w:after="100" w:afterAutospacing="1" w:line="360" w:lineRule="auto"/>
        <w:jc w:val="center"/>
        <w:outlineLvl w:val="2"/>
        <w:rPr>
          <w:rFonts w:ascii="Arial" w:eastAsia="Times New Roman" w:hAnsi="Arial" w:cs="Arial"/>
          <w:b/>
          <w:bCs/>
          <w:sz w:val="24"/>
          <w:szCs w:val="24"/>
          <w:lang w:eastAsia="fr-FR"/>
        </w:rPr>
      </w:pPr>
      <w:r w:rsidRPr="00470652">
        <w:rPr>
          <w:rFonts w:ascii="Arial" w:eastAsia="Times New Roman" w:hAnsi="Arial" w:cs="Arial"/>
          <w:b/>
          <w:bCs/>
          <w:sz w:val="24"/>
          <w:szCs w:val="24"/>
          <w:lang w:eastAsia="fr-FR"/>
        </w:rPr>
        <w:t>SYNTHESE DU PLAN STRATEGIQUE DE MOBILISATION DES RESSOURCES DE LA COMMUNE DE BASSILA (2024-2026)</w:t>
      </w:r>
    </w:p>
    <w:p w14:paraId="2207517B" w14:textId="13079D53" w:rsidR="00FE0F20" w:rsidRDefault="00FE0F20" w:rsidP="00993224">
      <w:pPr>
        <w:rPr>
          <w:rFonts w:ascii="Arial" w:eastAsia="Times New Roman" w:hAnsi="Arial" w:cs="Arial"/>
          <w:b/>
          <w:bCs/>
          <w:sz w:val="24"/>
          <w:szCs w:val="24"/>
          <w:lang w:eastAsia="fr-FR"/>
        </w:rPr>
      </w:pPr>
    </w:p>
    <w:p w14:paraId="0DCD942F" w14:textId="77777777" w:rsidR="00FE0F20" w:rsidRPr="00FE0F20" w:rsidRDefault="00FE0F20" w:rsidP="00FE0F20">
      <w:pPr>
        <w:rPr>
          <w:rFonts w:ascii="Arial" w:eastAsia="Times New Roman" w:hAnsi="Arial" w:cs="Arial"/>
          <w:sz w:val="24"/>
          <w:szCs w:val="24"/>
          <w:lang w:eastAsia="fr-FR"/>
        </w:rPr>
      </w:pPr>
    </w:p>
    <w:p w14:paraId="22BA80E7" w14:textId="77777777" w:rsidR="00FE0F20" w:rsidRPr="00FE0F20" w:rsidRDefault="00FE0F20" w:rsidP="00FE0F20">
      <w:pPr>
        <w:rPr>
          <w:rFonts w:ascii="Arial" w:eastAsia="Times New Roman" w:hAnsi="Arial" w:cs="Arial"/>
          <w:sz w:val="24"/>
          <w:szCs w:val="24"/>
          <w:lang w:eastAsia="fr-FR"/>
        </w:rPr>
      </w:pPr>
    </w:p>
    <w:p w14:paraId="67EFEFBD" w14:textId="77777777" w:rsidR="00FE0F20" w:rsidRPr="00FE0F20" w:rsidRDefault="00FE0F20" w:rsidP="00FE0F20">
      <w:pPr>
        <w:rPr>
          <w:rFonts w:ascii="Arial" w:eastAsia="Times New Roman" w:hAnsi="Arial" w:cs="Arial"/>
          <w:sz w:val="24"/>
          <w:szCs w:val="24"/>
          <w:lang w:eastAsia="fr-FR"/>
        </w:rPr>
      </w:pPr>
    </w:p>
    <w:p w14:paraId="7ACD0CFC" w14:textId="77777777" w:rsidR="00FE0F20" w:rsidRPr="00FE0F20" w:rsidRDefault="00FE0F20" w:rsidP="00FE0F20">
      <w:pPr>
        <w:rPr>
          <w:rFonts w:ascii="Arial" w:eastAsia="Times New Roman" w:hAnsi="Arial" w:cs="Arial"/>
          <w:sz w:val="24"/>
          <w:szCs w:val="24"/>
          <w:lang w:eastAsia="fr-FR"/>
        </w:rPr>
      </w:pPr>
    </w:p>
    <w:p w14:paraId="27780BE5" w14:textId="77777777" w:rsidR="00FE0F20" w:rsidRPr="00FE0F20" w:rsidRDefault="00FE0F20" w:rsidP="00FE0F20">
      <w:pPr>
        <w:rPr>
          <w:rFonts w:ascii="Arial" w:eastAsia="Times New Roman" w:hAnsi="Arial" w:cs="Arial"/>
          <w:sz w:val="24"/>
          <w:szCs w:val="24"/>
          <w:lang w:eastAsia="fr-FR"/>
        </w:rPr>
      </w:pPr>
    </w:p>
    <w:p w14:paraId="436D1CD8" w14:textId="77777777" w:rsidR="00FE0F20" w:rsidRPr="00FE0F20" w:rsidRDefault="00FE0F20" w:rsidP="00FE0F20">
      <w:pPr>
        <w:rPr>
          <w:rFonts w:ascii="Arial" w:eastAsia="Times New Roman" w:hAnsi="Arial" w:cs="Arial"/>
          <w:sz w:val="24"/>
          <w:szCs w:val="24"/>
          <w:lang w:eastAsia="fr-FR"/>
        </w:rPr>
      </w:pPr>
    </w:p>
    <w:p w14:paraId="4BF85D57" w14:textId="77777777" w:rsidR="00FE0F20" w:rsidRPr="00FE0F20" w:rsidRDefault="00FE0F20" w:rsidP="00FE0F20">
      <w:pPr>
        <w:rPr>
          <w:rFonts w:ascii="Arial" w:eastAsia="Times New Roman" w:hAnsi="Arial" w:cs="Arial"/>
          <w:sz w:val="24"/>
          <w:szCs w:val="24"/>
          <w:lang w:eastAsia="fr-FR"/>
        </w:rPr>
      </w:pPr>
    </w:p>
    <w:p w14:paraId="1221A867" w14:textId="77777777" w:rsidR="00FE0F20" w:rsidRPr="00FE0F20" w:rsidRDefault="00FE0F20" w:rsidP="00FE0F20">
      <w:pPr>
        <w:rPr>
          <w:rFonts w:ascii="Arial" w:eastAsia="Times New Roman" w:hAnsi="Arial" w:cs="Arial"/>
          <w:sz w:val="24"/>
          <w:szCs w:val="24"/>
          <w:lang w:eastAsia="fr-FR"/>
        </w:rPr>
      </w:pPr>
    </w:p>
    <w:p w14:paraId="30462A12" w14:textId="77777777" w:rsidR="00FE0F20" w:rsidRPr="00FE0F20" w:rsidRDefault="00FE0F20" w:rsidP="00FE0F20">
      <w:pPr>
        <w:rPr>
          <w:rFonts w:ascii="Arial" w:eastAsia="Times New Roman" w:hAnsi="Arial" w:cs="Arial"/>
          <w:sz w:val="24"/>
          <w:szCs w:val="24"/>
          <w:lang w:eastAsia="fr-FR"/>
        </w:rPr>
      </w:pPr>
    </w:p>
    <w:p w14:paraId="0EC8C64A" w14:textId="77777777" w:rsidR="00FE0F20" w:rsidRDefault="00FE0F20" w:rsidP="00FE0F20">
      <w:pPr>
        <w:rPr>
          <w:rFonts w:ascii="Arial" w:eastAsia="Times New Roman" w:hAnsi="Arial" w:cs="Arial"/>
          <w:sz w:val="24"/>
          <w:szCs w:val="24"/>
          <w:lang w:eastAsia="fr-FR"/>
        </w:rPr>
      </w:pPr>
    </w:p>
    <w:p w14:paraId="32FB462C" w14:textId="77777777" w:rsidR="00476612" w:rsidRDefault="00476612" w:rsidP="00FE0F20">
      <w:pPr>
        <w:rPr>
          <w:rFonts w:ascii="Arial" w:eastAsia="Times New Roman" w:hAnsi="Arial" w:cs="Arial"/>
          <w:sz w:val="24"/>
          <w:szCs w:val="24"/>
          <w:lang w:eastAsia="fr-FR"/>
        </w:rPr>
      </w:pPr>
    </w:p>
    <w:p w14:paraId="1406A0DA" w14:textId="77777777" w:rsidR="00476612" w:rsidRPr="00FE0F20" w:rsidRDefault="00476612" w:rsidP="00FE0F20">
      <w:pPr>
        <w:rPr>
          <w:rFonts w:ascii="Arial" w:eastAsia="Times New Roman" w:hAnsi="Arial" w:cs="Arial"/>
          <w:sz w:val="24"/>
          <w:szCs w:val="24"/>
          <w:lang w:eastAsia="fr-FR"/>
        </w:rPr>
      </w:pPr>
    </w:p>
    <w:p w14:paraId="476BBEE1" w14:textId="77777777" w:rsidR="00FE0F20" w:rsidRPr="00FE0F20" w:rsidRDefault="00FE0F20" w:rsidP="00FE0F20">
      <w:pPr>
        <w:rPr>
          <w:rFonts w:ascii="Arial" w:eastAsia="Times New Roman" w:hAnsi="Arial" w:cs="Arial"/>
          <w:sz w:val="24"/>
          <w:szCs w:val="24"/>
          <w:lang w:eastAsia="fr-FR"/>
        </w:rPr>
      </w:pPr>
    </w:p>
    <w:p w14:paraId="561F9097" w14:textId="77777777" w:rsidR="00476612" w:rsidRPr="007F4BC5" w:rsidRDefault="00476612" w:rsidP="00476612">
      <w:pPr>
        <w:pStyle w:val="Pieddepage"/>
        <w:jc w:val="center"/>
        <w:rPr>
          <w:b/>
          <w:bCs/>
          <w:i/>
          <w:iCs/>
          <w:sz w:val="28"/>
          <w:szCs w:val="28"/>
        </w:rPr>
      </w:pPr>
      <w:r>
        <w:rPr>
          <w:b/>
          <w:bCs/>
          <w:i/>
          <w:iCs/>
          <w:sz w:val="20"/>
          <w:szCs w:val="20"/>
        </w:rPr>
        <w:t xml:space="preserve">      REALISE </w:t>
      </w:r>
      <w:r w:rsidRPr="007F4BC5">
        <w:rPr>
          <w:b/>
          <w:bCs/>
          <w:i/>
          <w:iCs/>
          <w:sz w:val="20"/>
          <w:szCs w:val="20"/>
        </w:rPr>
        <w:t>AVEC LE SOUTIEN TECHNIQUE ET FINANCIER DE :</w:t>
      </w:r>
    </w:p>
    <w:p w14:paraId="13FAC9B9" w14:textId="77777777" w:rsidR="00476612" w:rsidRPr="007F4BC5" w:rsidRDefault="00476612" w:rsidP="00476612">
      <w:pPr>
        <w:keepNext/>
        <w:keepLines/>
        <w:spacing w:before="240" w:after="0"/>
        <w:jc w:val="center"/>
        <w:outlineLvl w:val="0"/>
        <w:rPr>
          <w:rFonts w:ascii="Arial" w:eastAsiaTheme="majorEastAsia" w:hAnsi="Arial" w:cs="Arial"/>
          <w:sz w:val="32"/>
          <w:szCs w:val="32"/>
        </w:rPr>
      </w:pPr>
      <w:r w:rsidRPr="007F4BC5">
        <w:rPr>
          <w:noProof/>
          <w:sz w:val="28"/>
          <w:szCs w:val="28"/>
        </w:rPr>
        <w:drawing>
          <wp:anchor distT="0" distB="0" distL="114300" distR="114300" simplePos="0" relativeHeight="251663360" behindDoc="1" locked="0" layoutInCell="0" allowOverlap="1" wp14:anchorId="489DBC0E" wp14:editId="66442E70">
            <wp:simplePos x="0" y="0"/>
            <wp:positionH relativeFrom="page">
              <wp:posOffset>4046220</wp:posOffset>
            </wp:positionH>
            <wp:positionV relativeFrom="paragraph">
              <wp:posOffset>71755</wp:posOffset>
            </wp:positionV>
            <wp:extent cx="1351915" cy="640080"/>
            <wp:effectExtent l="0" t="0" r="635" b="7620"/>
            <wp:wrapSquare wrapText="bothSides"/>
            <wp:docPr id="387794606" name="Image 38779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73923" name="Image 1362173923"/>
                    <pic:cNvPicPr>
                      <a:picLocks noChangeAspect="1" noChangeArrowheads="1"/>
                    </pic:cNvPicPr>
                  </pic:nvPicPr>
                  <pic:blipFill>
                    <a:blip r:embed="rId6"/>
                    <a:stretch>
                      <a:fillRect/>
                    </a:stretch>
                  </pic:blipFill>
                  <pic:spPr>
                    <a:xfrm>
                      <a:off x="0" y="0"/>
                      <a:ext cx="1351915" cy="640080"/>
                    </a:xfrm>
                    <a:prstGeom prst="rect">
                      <a:avLst/>
                    </a:prstGeom>
                  </pic:spPr>
                </pic:pic>
              </a:graphicData>
            </a:graphic>
            <wp14:sizeRelH relativeFrom="margin">
              <wp14:pctWidth>0</wp14:pctWidth>
            </wp14:sizeRelH>
            <wp14:sizeRelV relativeFrom="margin">
              <wp14:pctHeight>0</wp14:pctHeight>
            </wp14:sizeRelV>
          </wp:anchor>
        </w:drawing>
      </w:r>
      <w:r w:rsidRPr="007F4BC5">
        <w:rPr>
          <w:noProof/>
          <w:sz w:val="28"/>
          <w:szCs w:val="28"/>
        </w:rPr>
        <w:drawing>
          <wp:anchor distT="0" distB="0" distL="114300" distR="114300" simplePos="0" relativeHeight="251664384" behindDoc="0" locked="0" layoutInCell="1" allowOverlap="1" wp14:anchorId="60B67838" wp14:editId="532EEE02">
            <wp:simplePos x="0" y="0"/>
            <wp:positionH relativeFrom="column">
              <wp:posOffset>1691005</wp:posOffset>
            </wp:positionH>
            <wp:positionV relativeFrom="paragraph">
              <wp:posOffset>71755</wp:posOffset>
            </wp:positionV>
            <wp:extent cx="768985" cy="777875"/>
            <wp:effectExtent l="0" t="0" r="0" b="3175"/>
            <wp:wrapSquare wrapText="bothSides"/>
            <wp:docPr id="1951645361" name="Image 195164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98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98205" w14:textId="77777777" w:rsidR="00476612" w:rsidRPr="007F4BC5" w:rsidRDefault="00476612" w:rsidP="00476612">
      <w:pPr>
        <w:keepNext/>
        <w:keepLines/>
        <w:spacing w:before="240" w:after="0"/>
        <w:jc w:val="center"/>
        <w:outlineLvl w:val="0"/>
        <w:rPr>
          <w:rFonts w:ascii="Arial" w:eastAsiaTheme="majorEastAsia" w:hAnsi="Arial" w:cs="Arial"/>
          <w:sz w:val="32"/>
          <w:szCs w:val="32"/>
        </w:rPr>
      </w:pPr>
    </w:p>
    <w:p w14:paraId="609C06E8" w14:textId="77777777" w:rsidR="00FE0F20" w:rsidRPr="00FE0F20" w:rsidRDefault="00FE0F20" w:rsidP="00FE0F20">
      <w:pPr>
        <w:rPr>
          <w:rFonts w:ascii="Arial" w:eastAsia="Times New Roman" w:hAnsi="Arial" w:cs="Arial"/>
          <w:sz w:val="24"/>
          <w:szCs w:val="24"/>
          <w:lang w:eastAsia="fr-FR"/>
        </w:rPr>
      </w:pPr>
    </w:p>
    <w:p w14:paraId="5CC1EF09" w14:textId="77777777" w:rsidR="00FE0F20" w:rsidRPr="00FE0F20" w:rsidRDefault="00FE0F20" w:rsidP="00FE0F20">
      <w:pPr>
        <w:rPr>
          <w:rFonts w:ascii="Arial" w:eastAsia="Times New Roman" w:hAnsi="Arial" w:cs="Arial"/>
          <w:sz w:val="24"/>
          <w:szCs w:val="24"/>
          <w:lang w:eastAsia="fr-FR"/>
        </w:rPr>
      </w:pPr>
    </w:p>
    <w:p w14:paraId="16FC16AC" w14:textId="77777777" w:rsidR="00256F8C" w:rsidRPr="002A17E3" w:rsidRDefault="008710D5" w:rsidP="003D29A5">
      <w:pPr>
        <w:pStyle w:val="Paragraphedeliste"/>
        <w:numPr>
          <w:ilvl w:val="0"/>
          <w:numId w:val="18"/>
        </w:numPr>
        <w:ind w:left="284"/>
        <w:rPr>
          <w:rFonts w:ascii="Arial" w:eastAsia="Times New Roman" w:hAnsi="Arial" w:cs="Arial"/>
          <w:b/>
          <w:bCs/>
          <w:sz w:val="24"/>
          <w:szCs w:val="24"/>
          <w:lang w:eastAsia="fr-FR"/>
        </w:rPr>
      </w:pPr>
      <w:r w:rsidRPr="003D29A5">
        <w:rPr>
          <w:rFonts w:ascii="Arial" w:eastAsia="Times New Roman" w:hAnsi="Arial" w:cs="Arial"/>
          <w:sz w:val="24"/>
          <w:szCs w:val="24"/>
          <w:lang w:eastAsia="fr-FR"/>
        </w:rPr>
        <w:br w:type="page"/>
      </w:r>
      <w:r w:rsidR="00256F8C" w:rsidRPr="002A17E3">
        <w:rPr>
          <w:rFonts w:ascii="Arial" w:eastAsia="Times New Roman" w:hAnsi="Arial" w:cs="Arial"/>
          <w:b/>
          <w:bCs/>
          <w:sz w:val="24"/>
          <w:szCs w:val="24"/>
          <w:lang w:eastAsia="fr-FR"/>
        </w:rPr>
        <w:lastRenderedPageBreak/>
        <w:t>DIAGNOSTIC &amp; POTENTIEL</w:t>
      </w:r>
    </w:p>
    <w:p w14:paraId="5FFE7543" w14:textId="77777777" w:rsidR="003D29A5" w:rsidRPr="002A17E3" w:rsidRDefault="003D29A5" w:rsidP="003D29A5">
      <w:pPr>
        <w:pStyle w:val="Paragraphedeliste"/>
        <w:ind w:left="284"/>
        <w:rPr>
          <w:rFonts w:ascii="Arial" w:eastAsia="Times New Roman" w:hAnsi="Arial" w:cs="Arial"/>
          <w:b/>
          <w:bCs/>
          <w:sz w:val="18"/>
          <w:szCs w:val="24"/>
          <w:lang w:eastAsia="fr-FR"/>
        </w:rPr>
      </w:pPr>
    </w:p>
    <w:p w14:paraId="3FE56EB2" w14:textId="77777777" w:rsidR="00256F8C" w:rsidRPr="002A17E3" w:rsidRDefault="00811DDE" w:rsidP="002A17E3">
      <w:pPr>
        <w:pStyle w:val="Paragraphedeliste"/>
        <w:numPr>
          <w:ilvl w:val="0"/>
          <w:numId w:val="14"/>
        </w:numPr>
        <w:spacing w:after="0" w:line="360" w:lineRule="auto"/>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Contexte, objectifs et démarche</w:t>
      </w:r>
    </w:p>
    <w:tbl>
      <w:tblPr>
        <w:tblStyle w:val="Grilledutableau"/>
        <w:tblW w:w="9781" w:type="dxa"/>
        <w:tblInd w:w="-147" w:type="dxa"/>
        <w:tblLook w:val="04A0" w:firstRow="1" w:lastRow="0" w:firstColumn="1" w:lastColumn="0" w:noHBand="0" w:noVBand="1"/>
      </w:tblPr>
      <w:tblGrid>
        <w:gridCol w:w="2410"/>
        <w:gridCol w:w="7371"/>
      </w:tblGrid>
      <w:tr w:rsidR="002A17E3" w:rsidRPr="002A17E3" w14:paraId="7C79EF3F" w14:textId="77777777" w:rsidTr="00476612">
        <w:tc>
          <w:tcPr>
            <w:tcW w:w="2410" w:type="dxa"/>
            <w:shd w:val="clear" w:color="auto" w:fill="E2EFD9" w:themeFill="accent6" w:themeFillTint="33"/>
            <w:vAlign w:val="center"/>
          </w:tcPr>
          <w:p w14:paraId="5FD476F5" w14:textId="77777777" w:rsidR="00470652" w:rsidRPr="002A17E3" w:rsidRDefault="00470652" w:rsidP="002A17E3">
            <w:pPr>
              <w:jc w:val="center"/>
              <w:rPr>
                <w:rFonts w:ascii="Arial" w:eastAsia="Times New Roman" w:hAnsi="Arial" w:cs="Arial"/>
                <w:b/>
                <w:bCs/>
                <w:lang w:eastAsia="fr-FR"/>
              </w:rPr>
            </w:pPr>
            <w:r w:rsidRPr="002A17E3">
              <w:rPr>
                <w:rFonts w:ascii="Arial" w:eastAsia="Times New Roman" w:hAnsi="Arial" w:cs="Arial"/>
                <w:b/>
                <w:bCs/>
                <w:lang w:eastAsia="fr-FR"/>
              </w:rPr>
              <w:t>Élément</w:t>
            </w:r>
          </w:p>
        </w:tc>
        <w:tc>
          <w:tcPr>
            <w:tcW w:w="7371" w:type="dxa"/>
            <w:shd w:val="clear" w:color="auto" w:fill="E2EFD9" w:themeFill="accent6" w:themeFillTint="33"/>
            <w:vAlign w:val="center"/>
          </w:tcPr>
          <w:p w14:paraId="74E47C1A" w14:textId="77777777" w:rsidR="00470652" w:rsidRPr="002A17E3" w:rsidRDefault="00470652" w:rsidP="002A17E3">
            <w:pPr>
              <w:jc w:val="center"/>
              <w:rPr>
                <w:rFonts w:ascii="Arial" w:eastAsia="Times New Roman" w:hAnsi="Arial" w:cs="Arial"/>
                <w:b/>
                <w:bCs/>
                <w:lang w:eastAsia="fr-FR"/>
              </w:rPr>
            </w:pPr>
            <w:r w:rsidRPr="002A17E3">
              <w:rPr>
                <w:rFonts w:ascii="Arial" w:eastAsia="Times New Roman" w:hAnsi="Arial" w:cs="Arial"/>
                <w:b/>
                <w:bCs/>
                <w:lang w:eastAsia="fr-FR"/>
              </w:rPr>
              <w:t>Contenu</w:t>
            </w:r>
          </w:p>
        </w:tc>
      </w:tr>
      <w:tr w:rsidR="002A17E3" w:rsidRPr="002A17E3" w14:paraId="01E9E732" w14:textId="77777777" w:rsidTr="00476612">
        <w:trPr>
          <w:trHeight w:val="785"/>
        </w:trPr>
        <w:tc>
          <w:tcPr>
            <w:tcW w:w="2410" w:type="dxa"/>
            <w:vAlign w:val="center"/>
          </w:tcPr>
          <w:p w14:paraId="6CDC4330" w14:textId="77777777" w:rsidR="00470652" w:rsidRPr="002A17E3" w:rsidRDefault="00470652" w:rsidP="002A17E3">
            <w:pPr>
              <w:rPr>
                <w:rFonts w:ascii="Arial" w:eastAsia="Times New Roman" w:hAnsi="Arial" w:cs="Arial"/>
                <w:lang w:eastAsia="fr-FR"/>
              </w:rPr>
            </w:pPr>
            <w:r w:rsidRPr="002A17E3">
              <w:rPr>
                <w:rFonts w:ascii="Arial" w:eastAsia="Times New Roman" w:hAnsi="Arial" w:cs="Arial"/>
                <w:b/>
                <w:bCs/>
                <w:lang w:eastAsia="fr-FR"/>
              </w:rPr>
              <w:t>Justification</w:t>
            </w:r>
          </w:p>
        </w:tc>
        <w:tc>
          <w:tcPr>
            <w:tcW w:w="7371" w:type="dxa"/>
            <w:vAlign w:val="center"/>
          </w:tcPr>
          <w:p w14:paraId="590A79A7" w14:textId="77777777" w:rsidR="00470652" w:rsidRPr="002A17E3" w:rsidRDefault="00470652" w:rsidP="002A17E3">
            <w:pPr>
              <w:jc w:val="both"/>
              <w:rPr>
                <w:rFonts w:ascii="Arial" w:eastAsia="Times New Roman" w:hAnsi="Arial" w:cs="Arial"/>
                <w:lang w:eastAsia="fr-FR"/>
              </w:rPr>
            </w:pPr>
            <w:r w:rsidRPr="002A17E3">
              <w:rPr>
                <w:rFonts w:ascii="Arial" w:eastAsia="Times New Roman" w:hAnsi="Arial" w:cs="Arial"/>
                <w:lang w:eastAsia="fr-FR"/>
              </w:rPr>
              <w:t>Faible mobilisation des ressources locales (31% du potentiel fiscal et 73% du potentie</w:t>
            </w:r>
            <w:r w:rsidR="0022472E" w:rsidRPr="002A17E3">
              <w:rPr>
                <w:rFonts w:ascii="Arial" w:eastAsia="Times New Roman" w:hAnsi="Arial" w:cs="Arial"/>
                <w:lang w:eastAsia="fr-FR"/>
              </w:rPr>
              <w:t>l non fiscal exploités en 2023) ;</w:t>
            </w:r>
            <w:r w:rsidRPr="002A17E3">
              <w:rPr>
                <w:rFonts w:ascii="Arial" w:eastAsia="Times New Roman" w:hAnsi="Arial" w:cs="Arial"/>
                <w:lang w:eastAsia="fr-FR"/>
              </w:rPr>
              <w:t xml:space="preserve"> déséquilibre RF/RNF</w:t>
            </w:r>
            <w:r w:rsidR="0022472E" w:rsidRPr="002A17E3">
              <w:rPr>
                <w:rFonts w:ascii="Arial" w:eastAsia="Times New Roman" w:hAnsi="Arial" w:cs="Arial"/>
                <w:lang w:eastAsia="fr-FR"/>
              </w:rPr>
              <w:t> ;</w:t>
            </w:r>
            <w:r w:rsidRPr="002A17E3">
              <w:rPr>
                <w:rFonts w:ascii="Arial" w:eastAsia="Times New Roman" w:hAnsi="Arial" w:cs="Arial"/>
                <w:lang w:eastAsia="fr-FR"/>
              </w:rPr>
              <w:t xml:space="preserve"> dépendance à la CDL.</w:t>
            </w:r>
          </w:p>
        </w:tc>
      </w:tr>
      <w:tr w:rsidR="002A17E3" w:rsidRPr="002A17E3" w14:paraId="2B0BFDFD" w14:textId="77777777" w:rsidTr="00476612">
        <w:trPr>
          <w:trHeight w:val="683"/>
        </w:trPr>
        <w:tc>
          <w:tcPr>
            <w:tcW w:w="2410" w:type="dxa"/>
            <w:vAlign w:val="center"/>
          </w:tcPr>
          <w:p w14:paraId="05570F62" w14:textId="77777777" w:rsidR="00470652" w:rsidRPr="002A17E3" w:rsidRDefault="00470652" w:rsidP="002A17E3">
            <w:pPr>
              <w:rPr>
                <w:rFonts w:ascii="Arial" w:eastAsia="Times New Roman" w:hAnsi="Arial" w:cs="Arial"/>
                <w:lang w:eastAsia="fr-FR"/>
              </w:rPr>
            </w:pPr>
            <w:r w:rsidRPr="002A17E3">
              <w:rPr>
                <w:rFonts w:ascii="Arial" w:eastAsia="Times New Roman" w:hAnsi="Arial" w:cs="Arial"/>
                <w:b/>
                <w:bCs/>
                <w:lang w:eastAsia="fr-FR"/>
              </w:rPr>
              <w:t>Objectifs généraux</w:t>
            </w:r>
          </w:p>
        </w:tc>
        <w:tc>
          <w:tcPr>
            <w:tcW w:w="7371" w:type="dxa"/>
            <w:vAlign w:val="center"/>
          </w:tcPr>
          <w:p w14:paraId="77F5C824" w14:textId="77777777" w:rsidR="00470652" w:rsidRPr="002A17E3" w:rsidRDefault="00470652" w:rsidP="002A17E3">
            <w:pPr>
              <w:jc w:val="both"/>
              <w:rPr>
                <w:rFonts w:ascii="Arial" w:eastAsia="Times New Roman" w:hAnsi="Arial" w:cs="Arial"/>
                <w:lang w:eastAsia="fr-FR"/>
              </w:rPr>
            </w:pPr>
            <w:r w:rsidRPr="002A17E3">
              <w:rPr>
                <w:rFonts w:ascii="Arial" w:eastAsia="Times New Roman" w:hAnsi="Arial" w:cs="Arial"/>
                <w:lang w:eastAsia="fr-FR"/>
              </w:rPr>
              <w:t>Optimiser la mobilisation des recettes propres pour assure</w:t>
            </w:r>
            <w:r w:rsidR="0022472E" w:rsidRPr="002A17E3">
              <w:rPr>
                <w:rFonts w:ascii="Arial" w:eastAsia="Times New Roman" w:hAnsi="Arial" w:cs="Arial"/>
                <w:lang w:eastAsia="fr-FR"/>
              </w:rPr>
              <w:t>r l’autonomie financière de la commune</w:t>
            </w:r>
          </w:p>
        </w:tc>
      </w:tr>
      <w:tr w:rsidR="002A17E3" w:rsidRPr="002A17E3" w14:paraId="3DD44CCC" w14:textId="77777777" w:rsidTr="00476612">
        <w:trPr>
          <w:trHeight w:val="565"/>
        </w:trPr>
        <w:tc>
          <w:tcPr>
            <w:tcW w:w="2410" w:type="dxa"/>
            <w:vAlign w:val="center"/>
          </w:tcPr>
          <w:p w14:paraId="061B9347" w14:textId="77777777" w:rsidR="00470652" w:rsidRPr="002A17E3" w:rsidRDefault="00470652" w:rsidP="002A17E3">
            <w:pPr>
              <w:rPr>
                <w:rFonts w:ascii="Arial" w:eastAsia="Times New Roman" w:hAnsi="Arial" w:cs="Arial"/>
                <w:lang w:eastAsia="fr-FR"/>
              </w:rPr>
            </w:pPr>
            <w:r w:rsidRPr="002A17E3">
              <w:rPr>
                <w:rFonts w:ascii="Arial" w:eastAsia="Times New Roman" w:hAnsi="Arial" w:cs="Arial"/>
                <w:b/>
                <w:bCs/>
                <w:lang w:eastAsia="fr-FR"/>
              </w:rPr>
              <w:t>Objectifs spécifiques</w:t>
            </w:r>
          </w:p>
        </w:tc>
        <w:tc>
          <w:tcPr>
            <w:tcW w:w="7371" w:type="dxa"/>
            <w:vAlign w:val="center"/>
          </w:tcPr>
          <w:p w14:paraId="6AEDBF64" w14:textId="77777777" w:rsidR="00470652" w:rsidRPr="002A17E3" w:rsidRDefault="00470652" w:rsidP="002A17E3">
            <w:pPr>
              <w:jc w:val="both"/>
              <w:rPr>
                <w:rFonts w:ascii="Arial" w:eastAsia="Times New Roman" w:hAnsi="Arial" w:cs="Arial"/>
                <w:lang w:eastAsia="fr-FR"/>
              </w:rPr>
            </w:pPr>
            <w:r w:rsidRPr="002A17E3">
              <w:rPr>
                <w:rFonts w:ascii="Arial" w:eastAsia="Times New Roman" w:hAnsi="Arial" w:cs="Arial"/>
                <w:lang w:eastAsia="fr-FR"/>
              </w:rPr>
              <w:t>Identifier les gisements sous-exploités, améliorer la gouvernance et la coordination des acteurs.</w:t>
            </w:r>
          </w:p>
        </w:tc>
      </w:tr>
      <w:tr w:rsidR="002A17E3" w:rsidRPr="002A17E3" w14:paraId="48CD7075" w14:textId="77777777" w:rsidTr="00476612">
        <w:trPr>
          <w:trHeight w:val="977"/>
        </w:trPr>
        <w:tc>
          <w:tcPr>
            <w:tcW w:w="2410" w:type="dxa"/>
            <w:vAlign w:val="center"/>
          </w:tcPr>
          <w:p w14:paraId="1493167D" w14:textId="77777777" w:rsidR="00470652" w:rsidRPr="002A17E3" w:rsidRDefault="00470652" w:rsidP="002A17E3">
            <w:pPr>
              <w:rPr>
                <w:rFonts w:ascii="Arial" w:eastAsia="Times New Roman" w:hAnsi="Arial" w:cs="Arial"/>
                <w:lang w:eastAsia="fr-FR"/>
              </w:rPr>
            </w:pPr>
            <w:r w:rsidRPr="002A17E3">
              <w:rPr>
                <w:rFonts w:ascii="Arial" w:eastAsia="Times New Roman" w:hAnsi="Arial" w:cs="Arial"/>
                <w:b/>
                <w:bCs/>
                <w:lang w:eastAsia="fr-FR"/>
              </w:rPr>
              <w:t>Acteurs impliqués</w:t>
            </w:r>
          </w:p>
        </w:tc>
        <w:tc>
          <w:tcPr>
            <w:tcW w:w="7371" w:type="dxa"/>
            <w:vAlign w:val="center"/>
          </w:tcPr>
          <w:p w14:paraId="69D26DDC" w14:textId="77777777" w:rsidR="00470652" w:rsidRPr="002A17E3" w:rsidRDefault="00470652" w:rsidP="002A17E3">
            <w:pPr>
              <w:jc w:val="both"/>
              <w:rPr>
                <w:rFonts w:ascii="Arial" w:eastAsia="Times New Roman" w:hAnsi="Arial" w:cs="Arial"/>
                <w:lang w:eastAsia="fr-FR"/>
              </w:rPr>
            </w:pPr>
            <w:r w:rsidRPr="002A17E3">
              <w:rPr>
                <w:rFonts w:ascii="Arial" w:eastAsia="Times New Roman" w:hAnsi="Arial" w:cs="Arial"/>
                <w:lang w:eastAsia="fr-FR"/>
              </w:rPr>
              <w:t>Mairie</w:t>
            </w:r>
            <w:r w:rsidR="00874A12" w:rsidRPr="002A17E3">
              <w:rPr>
                <w:rFonts w:ascii="Arial" w:eastAsia="Times New Roman" w:hAnsi="Arial" w:cs="Arial"/>
                <w:lang w:eastAsia="fr-FR"/>
              </w:rPr>
              <w:t xml:space="preserve"> (DAAF </w:t>
            </w:r>
            <w:r w:rsidR="00625A51" w:rsidRPr="002A17E3">
              <w:rPr>
                <w:rFonts w:ascii="Arial" w:eastAsia="Times New Roman" w:hAnsi="Arial" w:cs="Arial"/>
                <w:lang w:eastAsia="fr-FR"/>
              </w:rPr>
              <w:t>+</w:t>
            </w:r>
            <w:r w:rsidR="00874A12" w:rsidRPr="002A17E3">
              <w:rPr>
                <w:rFonts w:ascii="Arial" w:eastAsia="Times New Roman" w:hAnsi="Arial" w:cs="Arial"/>
                <w:lang w:eastAsia="fr-FR"/>
              </w:rPr>
              <w:t xml:space="preserve"> autres cadres techniques</w:t>
            </w:r>
            <w:r w:rsidR="00625A51" w:rsidRPr="002A17E3">
              <w:rPr>
                <w:rFonts w:ascii="Arial" w:eastAsia="Times New Roman" w:hAnsi="Arial" w:cs="Arial"/>
                <w:lang w:eastAsia="fr-FR"/>
              </w:rPr>
              <w:t xml:space="preserve"> mairie</w:t>
            </w:r>
            <w:r w:rsidR="00874A12" w:rsidRPr="002A17E3">
              <w:rPr>
                <w:rFonts w:ascii="Arial" w:eastAsia="Times New Roman" w:hAnsi="Arial" w:cs="Arial"/>
                <w:lang w:eastAsia="fr-FR"/>
              </w:rPr>
              <w:t>)</w:t>
            </w:r>
            <w:r w:rsidRPr="002A17E3">
              <w:rPr>
                <w:rFonts w:ascii="Arial" w:eastAsia="Times New Roman" w:hAnsi="Arial" w:cs="Arial"/>
                <w:lang w:eastAsia="fr-FR"/>
              </w:rPr>
              <w:t xml:space="preserve">, ACAD, </w:t>
            </w:r>
            <w:r w:rsidR="00625A51" w:rsidRPr="002A17E3">
              <w:rPr>
                <w:rFonts w:ascii="Arial" w:eastAsia="Times New Roman" w:hAnsi="Arial" w:cs="Arial"/>
                <w:lang w:eastAsia="fr-FR"/>
              </w:rPr>
              <w:t>CIPE ; E</w:t>
            </w:r>
            <w:r w:rsidRPr="002A17E3">
              <w:rPr>
                <w:rFonts w:ascii="Arial" w:eastAsia="Times New Roman" w:hAnsi="Arial" w:cs="Arial"/>
                <w:lang w:eastAsia="fr-FR"/>
              </w:rPr>
              <w:t xml:space="preserve">lus </w:t>
            </w:r>
            <w:r w:rsidR="00625A51" w:rsidRPr="002A17E3">
              <w:rPr>
                <w:rFonts w:ascii="Arial" w:eastAsia="Times New Roman" w:hAnsi="Arial" w:cs="Arial"/>
                <w:lang w:eastAsia="fr-FR"/>
              </w:rPr>
              <w:t>Communaux et locaux</w:t>
            </w:r>
            <w:r w:rsidRPr="002A17E3">
              <w:rPr>
                <w:rFonts w:ascii="Arial" w:eastAsia="Times New Roman" w:hAnsi="Arial" w:cs="Arial"/>
                <w:lang w:eastAsia="fr-FR"/>
              </w:rPr>
              <w:t xml:space="preserve">, </w:t>
            </w:r>
            <w:r w:rsidR="00625A51" w:rsidRPr="002A17E3">
              <w:rPr>
                <w:rFonts w:ascii="Arial" w:eastAsia="Times New Roman" w:hAnsi="Arial" w:cs="Arial"/>
                <w:lang w:eastAsia="fr-FR"/>
              </w:rPr>
              <w:t>acteurs économiques</w:t>
            </w:r>
            <w:r w:rsidRPr="002A17E3">
              <w:rPr>
                <w:rFonts w:ascii="Arial" w:eastAsia="Times New Roman" w:hAnsi="Arial" w:cs="Arial"/>
                <w:lang w:eastAsia="fr-FR"/>
              </w:rPr>
              <w:t>, services techniques déconcentrés, etc.</w:t>
            </w:r>
          </w:p>
        </w:tc>
      </w:tr>
      <w:tr w:rsidR="002A17E3" w:rsidRPr="002A17E3" w14:paraId="2FD4DC6C" w14:textId="77777777" w:rsidTr="00476612">
        <w:tc>
          <w:tcPr>
            <w:tcW w:w="2410" w:type="dxa"/>
            <w:vAlign w:val="center"/>
          </w:tcPr>
          <w:p w14:paraId="0C6002B0" w14:textId="77777777" w:rsidR="00470652" w:rsidRPr="002A17E3" w:rsidRDefault="00470652" w:rsidP="002A17E3">
            <w:pPr>
              <w:rPr>
                <w:rFonts w:ascii="Arial" w:eastAsia="Times New Roman" w:hAnsi="Arial" w:cs="Arial"/>
                <w:lang w:eastAsia="fr-FR"/>
              </w:rPr>
            </w:pPr>
            <w:r w:rsidRPr="002A17E3">
              <w:rPr>
                <w:rFonts w:ascii="Arial" w:eastAsia="Times New Roman" w:hAnsi="Arial" w:cs="Arial"/>
                <w:b/>
                <w:bCs/>
                <w:lang w:eastAsia="fr-FR"/>
              </w:rPr>
              <w:t>Méthodologie</w:t>
            </w:r>
          </w:p>
        </w:tc>
        <w:tc>
          <w:tcPr>
            <w:tcW w:w="7371" w:type="dxa"/>
            <w:vAlign w:val="center"/>
          </w:tcPr>
          <w:p w14:paraId="5A53C6AB" w14:textId="77777777" w:rsidR="00A64157" w:rsidRPr="002A17E3" w:rsidRDefault="006D1ABE" w:rsidP="002A17E3">
            <w:pPr>
              <w:pStyle w:val="Paragraphedeliste"/>
              <w:numPr>
                <w:ilvl w:val="0"/>
                <w:numId w:val="16"/>
              </w:numPr>
              <w:ind w:left="318" w:hanging="284"/>
              <w:jc w:val="both"/>
              <w:rPr>
                <w:rFonts w:ascii="Arial" w:eastAsia="Times New Roman" w:hAnsi="Arial" w:cs="Arial"/>
                <w:lang w:eastAsia="fr-FR"/>
              </w:rPr>
            </w:pPr>
            <w:r w:rsidRPr="002A17E3">
              <w:rPr>
                <w:rFonts w:ascii="Arial" w:eastAsia="Times New Roman" w:hAnsi="Arial" w:cs="Arial"/>
                <w:lang w:eastAsia="fr-FR"/>
              </w:rPr>
              <w:t>Diagnostic participatif pour EGF, FFOM,</w:t>
            </w:r>
          </w:p>
          <w:p w14:paraId="5AF978D1" w14:textId="77777777" w:rsidR="00A64157" w:rsidRPr="002A17E3" w:rsidRDefault="00A64157" w:rsidP="002A17E3">
            <w:pPr>
              <w:pStyle w:val="Paragraphedeliste"/>
              <w:numPr>
                <w:ilvl w:val="0"/>
                <w:numId w:val="16"/>
              </w:numPr>
              <w:ind w:left="318" w:hanging="284"/>
              <w:jc w:val="both"/>
              <w:rPr>
                <w:rFonts w:ascii="Arial" w:eastAsia="Times New Roman" w:hAnsi="Arial" w:cs="Arial"/>
                <w:lang w:eastAsia="fr-FR"/>
              </w:rPr>
            </w:pPr>
            <w:r w:rsidRPr="002A17E3">
              <w:rPr>
                <w:rFonts w:ascii="Arial" w:eastAsia="Times New Roman" w:hAnsi="Arial" w:cs="Arial"/>
                <w:lang w:eastAsia="fr-FR"/>
              </w:rPr>
              <w:t>Elaboration de plan</w:t>
            </w:r>
            <w:r w:rsidR="00470652" w:rsidRPr="002A17E3">
              <w:rPr>
                <w:rFonts w:ascii="Arial" w:eastAsia="Times New Roman" w:hAnsi="Arial" w:cs="Arial"/>
                <w:lang w:eastAsia="fr-FR"/>
              </w:rPr>
              <w:t xml:space="preserve"> stratégique</w:t>
            </w:r>
            <w:r w:rsidRPr="002A17E3">
              <w:rPr>
                <w:rFonts w:ascii="Arial" w:eastAsia="Times New Roman" w:hAnsi="Arial" w:cs="Arial"/>
                <w:lang w:eastAsia="fr-FR"/>
              </w:rPr>
              <w:t xml:space="preserve"> de mobilisation de ressources</w:t>
            </w:r>
            <w:r w:rsidR="00470652" w:rsidRPr="002A17E3">
              <w:rPr>
                <w:rFonts w:ascii="Arial" w:eastAsia="Times New Roman" w:hAnsi="Arial" w:cs="Arial"/>
                <w:lang w:eastAsia="fr-FR"/>
              </w:rPr>
              <w:t>.</w:t>
            </w:r>
          </w:p>
          <w:p w14:paraId="2F9CDCF1" w14:textId="77777777" w:rsidR="00470652" w:rsidRPr="002A17E3" w:rsidRDefault="00470652" w:rsidP="002A17E3">
            <w:pPr>
              <w:pStyle w:val="Paragraphedeliste"/>
              <w:numPr>
                <w:ilvl w:val="0"/>
                <w:numId w:val="16"/>
              </w:numPr>
              <w:ind w:left="318" w:hanging="284"/>
              <w:jc w:val="both"/>
              <w:rPr>
                <w:rFonts w:ascii="Arial" w:eastAsia="Times New Roman" w:hAnsi="Arial" w:cs="Arial"/>
                <w:lang w:eastAsia="fr-FR"/>
              </w:rPr>
            </w:pPr>
            <w:r w:rsidRPr="002A17E3">
              <w:rPr>
                <w:rFonts w:ascii="Arial" w:eastAsia="Times New Roman" w:hAnsi="Arial" w:cs="Arial"/>
                <w:lang w:eastAsia="fr-FR"/>
              </w:rPr>
              <w:t>Modélisation du dispositif de mise en œuvre.</w:t>
            </w:r>
          </w:p>
        </w:tc>
      </w:tr>
    </w:tbl>
    <w:p w14:paraId="1418F108" w14:textId="77777777" w:rsidR="00256F8C" w:rsidRDefault="00256F8C" w:rsidP="002A17E3">
      <w:pPr>
        <w:spacing w:after="0" w:line="240" w:lineRule="auto"/>
        <w:rPr>
          <w:rFonts w:ascii="Arial" w:eastAsia="Times New Roman" w:hAnsi="Arial" w:cs="Arial"/>
          <w:i/>
          <w:iCs/>
          <w:sz w:val="20"/>
          <w:lang w:eastAsia="fr-FR"/>
        </w:rPr>
      </w:pPr>
      <w:r w:rsidRPr="002A17E3">
        <w:rPr>
          <w:rFonts w:ascii="Arial" w:eastAsia="Times New Roman" w:hAnsi="Arial" w:cs="Arial"/>
          <w:b/>
          <w:i/>
          <w:iCs/>
          <w:sz w:val="20"/>
          <w:u w:val="single"/>
          <w:lang w:eastAsia="fr-FR"/>
        </w:rPr>
        <w:t xml:space="preserve">Source </w:t>
      </w:r>
      <w:r w:rsidRPr="002A17E3">
        <w:rPr>
          <w:rFonts w:ascii="Arial" w:eastAsia="Times New Roman" w:hAnsi="Arial" w:cs="Arial"/>
          <w:i/>
          <w:iCs/>
          <w:sz w:val="20"/>
          <w:lang w:eastAsia="fr-FR"/>
        </w:rPr>
        <w:t>: Rapport EGF et PSMR Bassila, 2024</w:t>
      </w:r>
      <w:r w:rsidR="007E5DC3" w:rsidRPr="002A17E3">
        <w:rPr>
          <w:rFonts w:ascii="Arial" w:eastAsia="Times New Roman" w:hAnsi="Arial" w:cs="Arial"/>
          <w:i/>
          <w:iCs/>
          <w:sz w:val="20"/>
          <w:lang w:eastAsia="fr-FR"/>
        </w:rPr>
        <w:t> ; pages 3 à 5</w:t>
      </w:r>
    </w:p>
    <w:p w14:paraId="1BA9D3EA" w14:textId="77777777" w:rsidR="002A17E3" w:rsidRPr="002A17E3" w:rsidRDefault="002A17E3" w:rsidP="002A17E3">
      <w:pPr>
        <w:spacing w:after="0" w:line="240" w:lineRule="auto"/>
        <w:rPr>
          <w:rFonts w:ascii="Arial" w:eastAsia="Times New Roman" w:hAnsi="Arial" w:cs="Arial"/>
          <w:i/>
          <w:iCs/>
          <w:sz w:val="20"/>
          <w:lang w:eastAsia="fr-FR"/>
        </w:rPr>
      </w:pPr>
    </w:p>
    <w:p w14:paraId="1BE3728F" w14:textId="3F9EC41C" w:rsidR="00256F8C" w:rsidRPr="002A17E3" w:rsidRDefault="00811DDE" w:rsidP="002A17E3">
      <w:pPr>
        <w:pStyle w:val="Paragraphedeliste"/>
        <w:numPr>
          <w:ilvl w:val="0"/>
          <w:numId w:val="14"/>
        </w:numPr>
        <w:spacing w:after="0" w:line="240" w:lineRule="auto"/>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Profil économique et potentiel mobilisable</w:t>
      </w:r>
    </w:p>
    <w:p w14:paraId="1D862DFB" w14:textId="77777777" w:rsidR="002A17E3" w:rsidRPr="002A17E3" w:rsidRDefault="002A17E3" w:rsidP="002A17E3">
      <w:pPr>
        <w:pStyle w:val="Paragraphedeliste"/>
        <w:spacing w:after="0" w:line="240" w:lineRule="auto"/>
        <w:outlineLvl w:val="2"/>
        <w:rPr>
          <w:rFonts w:ascii="Arial" w:eastAsia="Times New Roman" w:hAnsi="Arial" w:cs="Arial"/>
          <w:b/>
          <w:bCs/>
          <w:sz w:val="10"/>
          <w:szCs w:val="10"/>
          <w:lang w:eastAsia="fr-FR"/>
        </w:rPr>
      </w:pPr>
    </w:p>
    <w:p w14:paraId="7FAEA9B1" w14:textId="77777777" w:rsidR="00256F8C" w:rsidRDefault="00256F8C" w:rsidP="002A17E3">
      <w:pPr>
        <w:pStyle w:val="Paragraphedeliste"/>
        <w:numPr>
          <w:ilvl w:val="0"/>
          <w:numId w:val="20"/>
        </w:numPr>
        <w:spacing w:after="0" w:line="240" w:lineRule="auto"/>
        <w:rPr>
          <w:rFonts w:ascii="Arial" w:eastAsia="Times New Roman" w:hAnsi="Arial" w:cs="Arial"/>
          <w:sz w:val="24"/>
          <w:szCs w:val="24"/>
          <w:lang w:eastAsia="fr-FR"/>
        </w:rPr>
      </w:pPr>
      <w:r w:rsidRPr="002A17E3">
        <w:rPr>
          <w:rFonts w:ascii="Arial" w:eastAsia="Times New Roman" w:hAnsi="Arial" w:cs="Arial"/>
          <w:b/>
          <w:bCs/>
          <w:sz w:val="24"/>
          <w:szCs w:val="24"/>
          <w:u w:val="single"/>
          <w:lang w:eastAsia="fr-FR"/>
        </w:rPr>
        <w:t>Structure économique</w:t>
      </w:r>
      <w:r w:rsidRPr="002A17E3">
        <w:rPr>
          <w:rFonts w:ascii="Arial" w:eastAsia="Times New Roman" w:hAnsi="Arial" w:cs="Arial"/>
          <w:b/>
          <w:bCs/>
          <w:sz w:val="24"/>
          <w:szCs w:val="24"/>
          <w:lang w:eastAsia="fr-FR"/>
        </w:rPr>
        <w:t xml:space="preserve"> :</w:t>
      </w:r>
      <w:r w:rsidRPr="002A17E3">
        <w:rPr>
          <w:rFonts w:ascii="Arial" w:eastAsia="Times New Roman" w:hAnsi="Arial" w:cs="Arial"/>
          <w:sz w:val="24"/>
          <w:szCs w:val="24"/>
          <w:lang w:eastAsia="fr-FR"/>
        </w:rPr>
        <w:t xml:space="preserve"> Agriculture (62,8% </w:t>
      </w:r>
      <w:r w:rsidR="007E3E86" w:rsidRPr="002A17E3">
        <w:rPr>
          <w:rFonts w:ascii="Arial" w:eastAsia="Times New Roman" w:hAnsi="Arial" w:cs="Arial"/>
          <w:sz w:val="24"/>
          <w:szCs w:val="24"/>
          <w:lang w:eastAsia="fr-FR"/>
        </w:rPr>
        <w:t xml:space="preserve">des </w:t>
      </w:r>
      <w:r w:rsidRPr="002A17E3">
        <w:rPr>
          <w:rFonts w:ascii="Arial" w:eastAsia="Times New Roman" w:hAnsi="Arial" w:cs="Arial"/>
          <w:sz w:val="24"/>
          <w:szCs w:val="24"/>
          <w:lang w:eastAsia="fr-FR"/>
        </w:rPr>
        <w:t>actifs), commerce, artisanat, transport, tourisme embryonnaire.</w:t>
      </w:r>
    </w:p>
    <w:p w14:paraId="6AB0F205" w14:textId="77777777" w:rsidR="00256F8C" w:rsidRPr="002A17E3" w:rsidRDefault="00256F8C" w:rsidP="002A17E3">
      <w:pPr>
        <w:pStyle w:val="Paragraphedeliste"/>
        <w:numPr>
          <w:ilvl w:val="0"/>
          <w:numId w:val="20"/>
        </w:numPr>
        <w:spacing w:after="0" w:line="240" w:lineRule="auto"/>
        <w:rPr>
          <w:rFonts w:ascii="Arial" w:eastAsia="Times New Roman" w:hAnsi="Arial" w:cs="Arial"/>
          <w:sz w:val="24"/>
          <w:szCs w:val="24"/>
          <w:lang w:eastAsia="fr-FR"/>
        </w:rPr>
      </w:pPr>
      <w:r w:rsidRPr="002A17E3">
        <w:rPr>
          <w:rFonts w:ascii="Arial" w:eastAsia="Times New Roman" w:hAnsi="Arial" w:cs="Arial"/>
          <w:b/>
          <w:bCs/>
          <w:sz w:val="24"/>
          <w:szCs w:val="24"/>
          <w:u w:val="single"/>
          <w:lang w:eastAsia="fr-FR"/>
        </w:rPr>
        <w:t>Potentiel évalué</w:t>
      </w:r>
      <w:r w:rsidRPr="002A17E3">
        <w:rPr>
          <w:rFonts w:ascii="Arial" w:eastAsia="Times New Roman" w:hAnsi="Arial" w:cs="Arial"/>
          <w:b/>
          <w:bCs/>
          <w:sz w:val="24"/>
          <w:szCs w:val="24"/>
          <w:lang w:eastAsia="fr-FR"/>
        </w:rPr>
        <w:t xml:space="preserve"> (EGF 2024) </w:t>
      </w:r>
      <w:r w:rsidR="007E3E86" w:rsidRPr="002A17E3">
        <w:rPr>
          <w:rFonts w:ascii="Arial" w:eastAsia="Times New Roman" w:hAnsi="Arial" w:cs="Arial"/>
          <w:b/>
          <w:bCs/>
          <w:sz w:val="24"/>
          <w:szCs w:val="24"/>
          <w:lang w:eastAsia="fr-FR"/>
        </w:rPr>
        <w:t>en Million</w:t>
      </w:r>
      <w:r w:rsidR="00356B77" w:rsidRPr="002A17E3">
        <w:rPr>
          <w:rFonts w:ascii="Arial" w:eastAsia="Times New Roman" w:hAnsi="Arial" w:cs="Arial"/>
          <w:b/>
          <w:bCs/>
          <w:sz w:val="24"/>
          <w:szCs w:val="24"/>
          <w:lang w:eastAsia="fr-FR"/>
        </w:rPr>
        <w:t xml:space="preserve"> de FCFA</w:t>
      </w:r>
      <w:r w:rsidR="007E3E86" w:rsidRPr="002A17E3">
        <w:rPr>
          <w:rFonts w:ascii="Arial" w:eastAsia="Times New Roman" w:hAnsi="Arial" w:cs="Arial"/>
          <w:b/>
          <w:bCs/>
          <w:sz w:val="24"/>
          <w:szCs w:val="24"/>
          <w:lang w:eastAsia="fr-FR"/>
        </w:rPr>
        <w:t xml:space="preserve"> </w:t>
      </w:r>
      <w:r w:rsidRPr="002A17E3">
        <w:rPr>
          <w:rFonts w:ascii="Arial" w:eastAsia="Times New Roman" w:hAnsi="Arial" w:cs="Arial"/>
          <w:b/>
          <w:bCs/>
          <w:sz w:val="24"/>
          <w:szCs w:val="24"/>
          <w:lang w:eastAsia="fr-FR"/>
        </w:rPr>
        <w:t>:</w:t>
      </w:r>
    </w:p>
    <w:p w14:paraId="21419A70" w14:textId="77777777" w:rsidR="00256F8C" w:rsidRPr="002A17E3" w:rsidRDefault="00256F8C" w:rsidP="002A17E3">
      <w:pPr>
        <w:numPr>
          <w:ilvl w:val="0"/>
          <w:numId w:val="11"/>
        </w:numPr>
        <w:spacing w:after="0" w:line="360" w:lineRule="auto"/>
        <w:rPr>
          <w:rFonts w:ascii="Arial" w:eastAsia="Times New Roman" w:hAnsi="Arial" w:cs="Arial"/>
          <w:sz w:val="24"/>
          <w:szCs w:val="24"/>
          <w:lang w:eastAsia="fr-FR"/>
        </w:rPr>
      </w:pPr>
      <w:r w:rsidRPr="002A17E3">
        <w:rPr>
          <w:rFonts w:ascii="Arial" w:eastAsia="Times New Roman" w:hAnsi="Arial" w:cs="Arial"/>
          <w:b/>
          <w:bCs/>
          <w:sz w:val="24"/>
          <w:szCs w:val="24"/>
          <w:lang w:eastAsia="fr-FR"/>
        </w:rPr>
        <w:t>Recettes fiscales (RF) :</w:t>
      </w:r>
      <w:r w:rsidRPr="002A17E3">
        <w:rPr>
          <w:rFonts w:ascii="Arial" w:eastAsia="Times New Roman" w:hAnsi="Arial" w:cs="Arial"/>
          <w:sz w:val="24"/>
          <w:szCs w:val="24"/>
          <w:lang w:eastAsia="fr-FR"/>
        </w:rPr>
        <w:t xml:space="preserve"> 249,</w:t>
      </w:r>
      <w:r w:rsidR="005E2F6B" w:rsidRPr="002A17E3">
        <w:t xml:space="preserve"> </w:t>
      </w:r>
      <w:r w:rsidR="007E5DC3" w:rsidRPr="002A17E3">
        <w:rPr>
          <w:rFonts w:ascii="Arial" w:eastAsia="Times New Roman" w:hAnsi="Arial" w:cs="Arial"/>
          <w:sz w:val="24"/>
          <w:szCs w:val="24"/>
          <w:lang w:eastAsia="fr-FR"/>
        </w:rPr>
        <w:t>959</w:t>
      </w:r>
      <w:r w:rsidR="00356B77" w:rsidRPr="002A17E3">
        <w:rPr>
          <w:rFonts w:ascii="Arial" w:eastAsia="Times New Roman" w:hAnsi="Arial" w:cs="Arial"/>
          <w:sz w:val="24"/>
          <w:szCs w:val="24"/>
          <w:lang w:eastAsia="fr-FR"/>
        </w:rPr>
        <w:t xml:space="preserve"> </w:t>
      </w:r>
    </w:p>
    <w:p w14:paraId="72A8ED79" w14:textId="77777777" w:rsidR="002A17E3" w:rsidRDefault="00256F8C" w:rsidP="002A17E3">
      <w:pPr>
        <w:numPr>
          <w:ilvl w:val="0"/>
          <w:numId w:val="11"/>
        </w:numPr>
        <w:spacing w:after="0" w:line="360" w:lineRule="auto"/>
        <w:rPr>
          <w:rFonts w:ascii="Arial" w:eastAsia="Times New Roman" w:hAnsi="Arial" w:cs="Arial"/>
          <w:sz w:val="24"/>
          <w:szCs w:val="24"/>
          <w:lang w:eastAsia="fr-FR"/>
        </w:rPr>
      </w:pPr>
      <w:r w:rsidRPr="002A17E3">
        <w:rPr>
          <w:rFonts w:ascii="Arial" w:eastAsia="Times New Roman" w:hAnsi="Arial" w:cs="Arial"/>
          <w:b/>
          <w:bCs/>
          <w:sz w:val="24"/>
          <w:szCs w:val="24"/>
          <w:lang w:eastAsia="fr-FR"/>
        </w:rPr>
        <w:t>Recettes non fiscales (RNF) :</w:t>
      </w:r>
      <w:r w:rsidRPr="002A17E3">
        <w:rPr>
          <w:rFonts w:ascii="Arial" w:eastAsia="Times New Roman" w:hAnsi="Arial" w:cs="Arial"/>
          <w:sz w:val="24"/>
          <w:szCs w:val="24"/>
          <w:lang w:eastAsia="fr-FR"/>
        </w:rPr>
        <w:t xml:space="preserve"> 190,</w:t>
      </w:r>
      <w:r w:rsidR="005E2F6B" w:rsidRPr="002A17E3">
        <w:t xml:space="preserve"> </w:t>
      </w:r>
      <w:r w:rsidR="005E2F6B" w:rsidRPr="002A17E3">
        <w:rPr>
          <w:rFonts w:ascii="Arial" w:eastAsia="Times New Roman" w:hAnsi="Arial" w:cs="Arial"/>
          <w:sz w:val="24"/>
          <w:szCs w:val="24"/>
          <w:lang w:eastAsia="fr-FR"/>
        </w:rPr>
        <w:t>00</w:t>
      </w:r>
      <w:r w:rsidR="007E5DC3" w:rsidRPr="002A17E3">
        <w:rPr>
          <w:rFonts w:ascii="Arial" w:eastAsia="Times New Roman" w:hAnsi="Arial" w:cs="Arial"/>
          <w:sz w:val="24"/>
          <w:szCs w:val="24"/>
          <w:lang w:eastAsia="fr-FR"/>
        </w:rPr>
        <w:t xml:space="preserve">5 </w:t>
      </w:r>
    </w:p>
    <w:p w14:paraId="466DB28B" w14:textId="0EF546C7" w:rsidR="00256F8C" w:rsidRPr="002A17E3" w:rsidRDefault="00256F8C" w:rsidP="002A17E3">
      <w:pPr>
        <w:pStyle w:val="Paragraphedeliste"/>
        <w:numPr>
          <w:ilvl w:val="0"/>
          <w:numId w:val="21"/>
        </w:numPr>
        <w:spacing w:after="0" w:line="276" w:lineRule="auto"/>
        <w:ind w:left="709" w:hanging="357"/>
        <w:rPr>
          <w:rFonts w:ascii="Arial" w:eastAsia="Times New Roman" w:hAnsi="Arial" w:cs="Arial"/>
          <w:b/>
          <w:bCs/>
          <w:sz w:val="24"/>
          <w:szCs w:val="24"/>
          <w:u w:val="single"/>
          <w:lang w:eastAsia="fr-FR"/>
        </w:rPr>
      </w:pPr>
      <w:r w:rsidRPr="002A17E3">
        <w:rPr>
          <w:rFonts w:ascii="Arial" w:eastAsia="Times New Roman" w:hAnsi="Arial" w:cs="Arial"/>
          <w:b/>
          <w:bCs/>
          <w:sz w:val="24"/>
          <w:szCs w:val="24"/>
          <w:u w:val="single"/>
          <w:lang w:eastAsia="fr-FR"/>
        </w:rPr>
        <w:t>Taux de mobilisation en 2023 :</w:t>
      </w:r>
    </w:p>
    <w:p w14:paraId="79674B98" w14:textId="77777777" w:rsidR="00256F8C" w:rsidRPr="002A17E3" w:rsidRDefault="00256F8C" w:rsidP="002A17E3">
      <w:pPr>
        <w:numPr>
          <w:ilvl w:val="0"/>
          <w:numId w:val="12"/>
        </w:numPr>
        <w:spacing w:after="0" w:line="276" w:lineRule="auto"/>
        <w:ind w:hanging="357"/>
        <w:rPr>
          <w:rFonts w:ascii="Arial" w:eastAsia="Times New Roman" w:hAnsi="Arial" w:cs="Arial"/>
          <w:sz w:val="24"/>
          <w:szCs w:val="24"/>
          <w:lang w:eastAsia="fr-FR"/>
        </w:rPr>
      </w:pPr>
      <w:r w:rsidRPr="002A17E3">
        <w:rPr>
          <w:rFonts w:ascii="Arial" w:eastAsia="Times New Roman" w:hAnsi="Arial" w:cs="Arial"/>
          <w:sz w:val="24"/>
          <w:szCs w:val="24"/>
          <w:lang w:eastAsia="fr-FR"/>
        </w:rPr>
        <w:t>RF : 31</w:t>
      </w:r>
      <w:r w:rsidR="00BB43AA" w:rsidRPr="002A17E3">
        <w:rPr>
          <w:rFonts w:ascii="Arial" w:eastAsia="Times New Roman" w:hAnsi="Arial" w:cs="Arial"/>
          <w:sz w:val="24"/>
          <w:szCs w:val="24"/>
          <w:lang w:eastAsia="fr-FR"/>
        </w:rPr>
        <w:t>,20</w:t>
      </w:r>
      <w:r w:rsidRPr="002A17E3">
        <w:rPr>
          <w:rFonts w:ascii="Arial" w:eastAsia="Times New Roman" w:hAnsi="Arial" w:cs="Arial"/>
          <w:sz w:val="24"/>
          <w:szCs w:val="24"/>
          <w:lang w:eastAsia="fr-FR"/>
        </w:rPr>
        <w:t>%</w:t>
      </w:r>
    </w:p>
    <w:p w14:paraId="0ACC02E7" w14:textId="77777777" w:rsidR="00256F8C" w:rsidRPr="002A17E3" w:rsidRDefault="00256F8C" w:rsidP="002A17E3">
      <w:pPr>
        <w:numPr>
          <w:ilvl w:val="0"/>
          <w:numId w:val="12"/>
        </w:numPr>
        <w:spacing w:after="0" w:line="276" w:lineRule="auto"/>
        <w:ind w:hanging="357"/>
        <w:rPr>
          <w:rFonts w:ascii="Arial" w:eastAsia="Times New Roman" w:hAnsi="Arial" w:cs="Arial"/>
          <w:sz w:val="24"/>
          <w:szCs w:val="24"/>
          <w:lang w:eastAsia="fr-FR"/>
        </w:rPr>
      </w:pPr>
      <w:r w:rsidRPr="002A17E3">
        <w:rPr>
          <w:rFonts w:ascii="Arial" w:eastAsia="Times New Roman" w:hAnsi="Arial" w:cs="Arial"/>
          <w:sz w:val="24"/>
          <w:szCs w:val="24"/>
          <w:lang w:eastAsia="fr-FR"/>
        </w:rPr>
        <w:t xml:space="preserve">RNF : </w:t>
      </w:r>
      <w:r w:rsidR="007A70CF" w:rsidRPr="002A17E3">
        <w:rPr>
          <w:rFonts w:ascii="Arial" w:eastAsia="Times New Roman" w:hAnsi="Arial" w:cs="Arial"/>
          <w:sz w:val="24"/>
          <w:szCs w:val="24"/>
          <w:lang w:eastAsia="fr-FR"/>
        </w:rPr>
        <w:t>72,91</w:t>
      </w:r>
      <w:r w:rsidRPr="002A17E3">
        <w:rPr>
          <w:rFonts w:ascii="Arial" w:eastAsia="Times New Roman" w:hAnsi="Arial" w:cs="Arial"/>
          <w:sz w:val="24"/>
          <w:szCs w:val="24"/>
          <w:lang w:eastAsia="fr-FR"/>
        </w:rPr>
        <w:t>%</w:t>
      </w:r>
    </w:p>
    <w:p w14:paraId="4F9814FC" w14:textId="77777777" w:rsidR="00256F8C" w:rsidRPr="002A17E3" w:rsidRDefault="00193D31" w:rsidP="002A17E3">
      <w:pPr>
        <w:pStyle w:val="Paragraphedeliste"/>
        <w:numPr>
          <w:ilvl w:val="0"/>
          <w:numId w:val="21"/>
        </w:numPr>
        <w:spacing w:after="0" w:line="360" w:lineRule="auto"/>
        <w:ind w:left="709"/>
        <w:rPr>
          <w:rFonts w:ascii="Arial" w:eastAsia="Times New Roman" w:hAnsi="Arial" w:cs="Arial"/>
          <w:b/>
          <w:bCs/>
          <w:sz w:val="24"/>
          <w:szCs w:val="24"/>
          <w:lang w:eastAsia="fr-FR"/>
        </w:rPr>
      </w:pPr>
      <w:r w:rsidRPr="002A17E3">
        <w:rPr>
          <w:rFonts w:ascii="Arial" w:eastAsia="Times New Roman" w:hAnsi="Arial" w:cs="Arial"/>
          <w:b/>
          <w:bCs/>
          <w:sz w:val="24"/>
          <w:szCs w:val="24"/>
          <w:u w:val="single"/>
          <w:lang w:eastAsia="fr-FR"/>
        </w:rPr>
        <w:t>Comparaison entre</w:t>
      </w:r>
      <w:r w:rsidR="00256F8C" w:rsidRPr="002A17E3">
        <w:rPr>
          <w:rFonts w:ascii="Arial" w:eastAsia="Times New Roman" w:hAnsi="Arial" w:cs="Arial"/>
          <w:b/>
          <w:bCs/>
          <w:sz w:val="24"/>
          <w:szCs w:val="24"/>
          <w:u w:val="single"/>
          <w:lang w:eastAsia="fr-FR"/>
        </w:rPr>
        <w:t xml:space="preserve"> réalisations </w:t>
      </w:r>
      <w:r w:rsidRPr="002A17E3">
        <w:rPr>
          <w:rFonts w:ascii="Arial" w:eastAsia="Times New Roman" w:hAnsi="Arial" w:cs="Arial"/>
          <w:b/>
          <w:bCs/>
          <w:sz w:val="24"/>
          <w:szCs w:val="24"/>
          <w:u w:val="single"/>
          <w:lang w:eastAsia="fr-FR"/>
        </w:rPr>
        <w:t>de 2023 et</w:t>
      </w:r>
      <w:r w:rsidR="00256F8C" w:rsidRPr="002A17E3">
        <w:rPr>
          <w:rFonts w:ascii="Arial" w:eastAsia="Times New Roman" w:hAnsi="Arial" w:cs="Arial"/>
          <w:b/>
          <w:bCs/>
          <w:sz w:val="24"/>
          <w:szCs w:val="24"/>
          <w:u w:val="single"/>
          <w:lang w:eastAsia="fr-FR"/>
        </w:rPr>
        <w:t xml:space="preserve"> potentiel</w:t>
      </w:r>
      <w:r w:rsidRPr="002A17E3">
        <w:rPr>
          <w:rFonts w:ascii="Arial" w:eastAsia="Times New Roman" w:hAnsi="Arial" w:cs="Arial"/>
          <w:b/>
          <w:bCs/>
          <w:sz w:val="24"/>
          <w:szCs w:val="24"/>
          <w:lang w:eastAsia="fr-FR"/>
        </w:rPr>
        <w:t> :</w:t>
      </w:r>
    </w:p>
    <w:tbl>
      <w:tblPr>
        <w:tblStyle w:val="Grilledutableau"/>
        <w:tblW w:w="9351" w:type="dxa"/>
        <w:tblLook w:val="04A0" w:firstRow="1" w:lastRow="0" w:firstColumn="1" w:lastColumn="0" w:noHBand="0" w:noVBand="1"/>
      </w:tblPr>
      <w:tblGrid>
        <w:gridCol w:w="2122"/>
        <w:gridCol w:w="2409"/>
        <w:gridCol w:w="2410"/>
        <w:gridCol w:w="2410"/>
      </w:tblGrid>
      <w:tr w:rsidR="002A17E3" w:rsidRPr="002A17E3" w14:paraId="6CCA28BF" w14:textId="77777777" w:rsidTr="0021785F">
        <w:trPr>
          <w:trHeight w:val="708"/>
        </w:trPr>
        <w:tc>
          <w:tcPr>
            <w:tcW w:w="2122" w:type="dxa"/>
            <w:shd w:val="clear" w:color="auto" w:fill="E2EFD9" w:themeFill="accent6" w:themeFillTint="33"/>
            <w:vAlign w:val="center"/>
          </w:tcPr>
          <w:p w14:paraId="1869E2D0" w14:textId="77777777" w:rsidR="00193D31" w:rsidRPr="002A17E3" w:rsidRDefault="00193D31" w:rsidP="002A17E3">
            <w:pPr>
              <w:spacing w:line="360" w:lineRule="auto"/>
              <w:rPr>
                <w:rFonts w:ascii="Arial" w:eastAsia="Times New Roman" w:hAnsi="Arial" w:cs="Arial"/>
                <w:b/>
                <w:lang w:eastAsia="fr-FR"/>
              </w:rPr>
            </w:pPr>
            <w:r w:rsidRPr="002A17E3">
              <w:rPr>
                <w:rFonts w:ascii="Arial" w:eastAsia="Times New Roman" w:hAnsi="Arial" w:cs="Arial"/>
                <w:b/>
                <w:lang w:eastAsia="fr-FR"/>
              </w:rPr>
              <w:t>Type de recette</w:t>
            </w:r>
          </w:p>
        </w:tc>
        <w:tc>
          <w:tcPr>
            <w:tcW w:w="2409" w:type="dxa"/>
            <w:shd w:val="clear" w:color="auto" w:fill="E2EFD9" w:themeFill="accent6" w:themeFillTint="33"/>
            <w:vAlign w:val="center"/>
          </w:tcPr>
          <w:p w14:paraId="312F022E" w14:textId="77777777" w:rsidR="00193D31" w:rsidRPr="002A17E3" w:rsidRDefault="00193D31" w:rsidP="002A17E3">
            <w:pPr>
              <w:jc w:val="center"/>
              <w:rPr>
                <w:rFonts w:ascii="Arial" w:eastAsia="Times New Roman" w:hAnsi="Arial" w:cs="Arial"/>
                <w:lang w:eastAsia="fr-FR"/>
              </w:rPr>
            </w:pPr>
            <w:r w:rsidRPr="002A17E3">
              <w:rPr>
                <w:rFonts w:ascii="Arial" w:eastAsia="Times New Roman" w:hAnsi="Arial" w:cs="Arial"/>
                <w:b/>
                <w:lang w:eastAsia="fr-FR"/>
              </w:rPr>
              <w:t>Réalisation 2023</w:t>
            </w:r>
            <w:r w:rsidRPr="002A17E3">
              <w:t xml:space="preserve"> </w:t>
            </w:r>
            <w:r w:rsidR="00E81B35" w:rsidRPr="002A17E3">
              <w:rPr>
                <w:rFonts w:ascii="Arial" w:eastAsia="Times New Roman" w:hAnsi="Arial" w:cs="Arial"/>
                <w:lang w:eastAsia="fr-FR"/>
              </w:rPr>
              <w:t>en Million de</w:t>
            </w:r>
            <w:r w:rsidR="00520CCB" w:rsidRPr="002A17E3">
              <w:rPr>
                <w:rFonts w:ascii="Arial" w:eastAsia="Times New Roman" w:hAnsi="Arial" w:cs="Arial"/>
                <w:lang w:eastAsia="fr-FR"/>
              </w:rPr>
              <w:t xml:space="preserve"> FCFA</w:t>
            </w:r>
          </w:p>
        </w:tc>
        <w:tc>
          <w:tcPr>
            <w:tcW w:w="2410" w:type="dxa"/>
            <w:shd w:val="clear" w:color="auto" w:fill="E2EFD9" w:themeFill="accent6" w:themeFillTint="33"/>
            <w:vAlign w:val="center"/>
          </w:tcPr>
          <w:p w14:paraId="73737686" w14:textId="77777777" w:rsidR="00193D31" w:rsidRPr="002A17E3" w:rsidRDefault="00193D31" w:rsidP="002A17E3">
            <w:pPr>
              <w:jc w:val="center"/>
              <w:rPr>
                <w:rFonts w:ascii="Arial" w:eastAsia="Times New Roman" w:hAnsi="Arial" w:cs="Arial"/>
                <w:b/>
                <w:lang w:eastAsia="fr-FR"/>
              </w:rPr>
            </w:pPr>
            <w:r w:rsidRPr="002A17E3">
              <w:rPr>
                <w:rFonts w:ascii="Arial" w:eastAsia="Times New Roman" w:hAnsi="Arial" w:cs="Arial"/>
                <w:b/>
                <w:lang w:eastAsia="fr-FR"/>
              </w:rPr>
              <w:t>Potentiel estimé</w:t>
            </w:r>
          </w:p>
          <w:p w14:paraId="2F96EE63" w14:textId="77777777" w:rsidR="00193D31" w:rsidRPr="002A17E3" w:rsidRDefault="00E81B35" w:rsidP="002A17E3">
            <w:pPr>
              <w:jc w:val="center"/>
              <w:rPr>
                <w:rFonts w:ascii="Arial" w:eastAsia="Times New Roman" w:hAnsi="Arial" w:cs="Arial"/>
                <w:lang w:eastAsia="fr-FR"/>
              </w:rPr>
            </w:pPr>
            <w:r w:rsidRPr="002A17E3">
              <w:rPr>
                <w:rFonts w:ascii="Arial" w:eastAsia="Times New Roman" w:hAnsi="Arial" w:cs="Arial"/>
                <w:lang w:eastAsia="fr-FR"/>
              </w:rPr>
              <w:t>en Million de</w:t>
            </w:r>
            <w:r w:rsidR="00520CCB" w:rsidRPr="002A17E3">
              <w:rPr>
                <w:rFonts w:ascii="Arial" w:eastAsia="Times New Roman" w:hAnsi="Arial" w:cs="Arial"/>
                <w:lang w:eastAsia="fr-FR"/>
              </w:rPr>
              <w:t xml:space="preserve"> FCFA</w:t>
            </w:r>
          </w:p>
        </w:tc>
        <w:tc>
          <w:tcPr>
            <w:tcW w:w="2410" w:type="dxa"/>
            <w:shd w:val="clear" w:color="auto" w:fill="E2EFD9" w:themeFill="accent6" w:themeFillTint="33"/>
            <w:vAlign w:val="center"/>
          </w:tcPr>
          <w:p w14:paraId="4C44219C" w14:textId="77777777" w:rsidR="00193D31" w:rsidRPr="002A17E3" w:rsidRDefault="00193D31" w:rsidP="002A17E3">
            <w:pPr>
              <w:spacing w:line="360" w:lineRule="auto"/>
              <w:rPr>
                <w:rFonts w:ascii="Arial" w:eastAsia="Times New Roman" w:hAnsi="Arial" w:cs="Arial"/>
                <w:b/>
                <w:lang w:eastAsia="fr-FR"/>
              </w:rPr>
            </w:pPr>
            <w:r w:rsidRPr="002A17E3">
              <w:rPr>
                <w:rFonts w:ascii="Arial" w:eastAsia="Times New Roman" w:hAnsi="Arial" w:cs="Arial"/>
                <w:b/>
                <w:lang w:eastAsia="fr-FR"/>
              </w:rPr>
              <w:t>Taux mobilisation</w:t>
            </w:r>
          </w:p>
        </w:tc>
      </w:tr>
      <w:tr w:rsidR="002A17E3" w:rsidRPr="002A17E3" w14:paraId="5FFA60EA" w14:textId="77777777" w:rsidTr="008D4120">
        <w:trPr>
          <w:trHeight w:val="419"/>
        </w:trPr>
        <w:tc>
          <w:tcPr>
            <w:tcW w:w="2122" w:type="dxa"/>
            <w:vAlign w:val="center"/>
          </w:tcPr>
          <w:p w14:paraId="228A27BE" w14:textId="77777777" w:rsidR="007E3E86" w:rsidRPr="002A17E3" w:rsidRDefault="007E3E86" w:rsidP="002A17E3">
            <w:pPr>
              <w:rPr>
                <w:rFonts w:ascii="Arial" w:eastAsia="Times New Roman" w:hAnsi="Arial" w:cs="Arial"/>
                <w:lang w:eastAsia="fr-FR"/>
              </w:rPr>
            </w:pPr>
            <w:r w:rsidRPr="002A17E3">
              <w:rPr>
                <w:rFonts w:ascii="Arial" w:eastAsia="Times New Roman" w:hAnsi="Arial" w:cs="Arial"/>
                <w:lang w:eastAsia="fr-FR"/>
              </w:rPr>
              <w:t>RF</w:t>
            </w:r>
          </w:p>
        </w:tc>
        <w:tc>
          <w:tcPr>
            <w:tcW w:w="2409" w:type="dxa"/>
            <w:vAlign w:val="center"/>
          </w:tcPr>
          <w:p w14:paraId="29235D58" w14:textId="77777777" w:rsidR="007E3E86" w:rsidRPr="002A17E3" w:rsidRDefault="00D66AA2"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77, 975</w:t>
            </w:r>
          </w:p>
        </w:tc>
        <w:tc>
          <w:tcPr>
            <w:tcW w:w="2410" w:type="dxa"/>
            <w:vAlign w:val="center"/>
          </w:tcPr>
          <w:p w14:paraId="4CC0D115" w14:textId="77777777" w:rsidR="007E3E86" w:rsidRPr="002A17E3" w:rsidRDefault="007E3E86"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249,959</w:t>
            </w:r>
          </w:p>
        </w:tc>
        <w:tc>
          <w:tcPr>
            <w:tcW w:w="2410" w:type="dxa"/>
            <w:vAlign w:val="center"/>
          </w:tcPr>
          <w:p w14:paraId="1C2203D9" w14:textId="77777777" w:rsidR="007E3E86" w:rsidRPr="002A17E3" w:rsidRDefault="00D66AA2"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31,20</w:t>
            </w:r>
            <w:r w:rsidR="007E3E86" w:rsidRPr="002A17E3">
              <w:rPr>
                <w:rFonts w:ascii="Times New Roman" w:eastAsia="Times New Roman" w:hAnsi="Times New Roman" w:cs="Times New Roman"/>
                <w:lang w:eastAsia="fr-FR"/>
              </w:rPr>
              <w:t>0 %</w:t>
            </w:r>
          </w:p>
        </w:tc>
      </w:tr>
      <w:tr w:rsidR="002A17E3" w:rsidRPr="002A17E3" w14:paraId="76E9B006" w14:textId="77777777" w:rsidTr="008D4120">
        <w:trPr>
          <w:trHeight w:val="426"/>
        </w:trPr>
        <w:tc>
          <w:tcPr>
            <w:tcW w:w="2122" w:type="dxa"/>
            <w:vAlign w:val="center"/>
          </w:tcPr>
          <w:p w14:paraId="2364DCFB" w14:textId="77777777" w:rsidR="007E3E86" w:rsidRPr="002A17E3" w:rsidRDefault="007E3E86" w:rsidP="002A17E3">
            <w:pPr>
              <w:rPr>
                <w:rFonts w:ascii="Arial" w:eastAsia="Times New Roman" w:hAnsi="Arial" w:cs="Arial"/>
                <w:lang w:eastAsia="fr-FR"/>
              </w:rPr>
            </w:pPr>
            <w:r w:rsidRPr="002A17E3">
              <w:rPr>
                <w:rFonts w:ascii="Arial" w:eastAsia="Times New Roman" w:hAnsi="Arial" w:cs="Arial"/>
                <w:lang w:eastAsia="fr-FR"/>
              </w:rPr>
              <w:t>RNF</w:t>
            </w:r>
          </w:p>
        </w:tc>
        <w:tc>
          <w:tcPr>
            <w:tcW w:w="2409" w:type="dxa"/>
            <w:vAlign w:val="center"/>
          </w:tcPr>
          <w:p w14:paraId="6F7E5934" w14:textId="77777777" w:rsidR="007E3E86" w:rsidRPr="002A17E3" w:rsidRDefault="007E3E86"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146,302</w:t>
            </w:r>
          </w:p>
        </w:tc>
        <w:tc>
          <w:tcPr>
            <w:tcW w:w="2410" w:type="dxa"/>
            <w:vAlign w:val="center"/>
          </w:tcPr>
          <w:p w14:paraId="5D311FCB" w14:textId="77777777" w:rsidR="007E3E86" w:rsidRPr="002A17E3" w:rsidRDefault="007E3E86"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190,005</w:t>
            </w:r>
          </w:p>
        </w:tc>
        <w:tc>
          <w:tcPr>
            <w:tcW w:w="2410" w:type="dxa"/>
            <w:vAlign w:val="center"/>
          </w:tcPr>
          <w:p w14:paraId="409D8AFC" w14:textId="77777777" w:rsidR="007E3E86" w:rsidRPr="002A17E3" w:rsidRDefault="007E3E86" w:rsidP="002A17E3">
            <w:pPr>
              <w:jc w:val="center"/>
              <w:rPr>
                <w:rFonts w:ascii="Times New Roman" w:eastAsia="Times New Roman" w:hAnsi="Times New Roman" w:cs="Times New Roman"/>
                <w:lang w:eastAsia="fr-FR"/>
              </w:rPr>
            </w:pPr>
            <w:r w:rsidRPr="002A17E3">
              <w:rPr>
                <w:rFonts w:ascii="Times New Roman" w:eastAsia="Times New Roman" w:hAnsi="Times New Roman" w:cs="Times New Roman"/>
                <w:lang w:eastAsia="fr-FR"/>
              </w:rPr>
              <w:t>72,910 %</w:t>
            </w:r>
          </w:p>
        </w:tc>
      </w:tr>
    </w:tbl>
    <w:p w14:paraId="7E12C525" w14:textId="77777777" w:rsidR="00256F8C" w:rsidRPr="002A17E3" w:rsidRDefault="00256F8C" w:rsidP="002A17E3">
      <w:pPr>
        <w:spacing w:after="0" w:line="240" w:lineRule="auto"/>
        <w:rPr>
          <w:rFonts w:ascii="Arial" w:eastAsia="Times New Roman" w:hAnsi="Arial" w:cs="Arial"/>
          <w:i/>
          <w:iCs/>
          <w:sz w:val="20"/>
          <w:lang w:eastAsia="fr-FR"/>
        </w:rPr>
      </w:pPr>
      <w:r w:rsidRPr="002A17E3">
        <w:rPr>
          <w:rFonts w:ascii="Arial" w:eastAsia="Times New Roman" w:hAnsi="Arial" w:cs="Arial"/>
          <w:b/>
          <w:i/>
          <w:iCs/>
          <w:sz w:val="20"/>
          <w:u w:val="single"/>
          <w:lang w:eastAsia="fr-FR"/>
        </w:rPr>
        <w:t>Source</w:t>
      </w:r>
      <w:r w:rsidRPr="002A17E3">
        <w:rPr>
          <w:rFonts w:ascii="Arial" w:eastAsia="Times New Roman" w:hAnsi="Arial" w:cs="Arial"/>
          <w:i/>
          <w:iCs/>
          <w:sz w:val="20"/>
          <w:lang w:eastAsia="fr-FR"/>
        </w:rPr>
        <w:t xml:space="preserve"> : </w:t>
      </w:r>
      <w:r w:rsidR="00D66AA2" w:rsidRPr="002A17E3">
        <w:rPr>
          <w:rFonts w:ascii="Arial" w:eastAsia="Times New Roman" w:hAnsi="Arial" w:cs="Arial"/>
          <w:i/>
          <w:iCs/>
          <w:sz w:val="20"/>
          <w:lang w:eastAsia="fr-FR"/>
        </w:rPr>
        <w:t>Compte Administratif</w:t>
      </w:r>
      <w:r w:rsidRPr="002A17E3">
        <w:rPr>
          <w:rFonts w:ascii="Arial" w:eastAsia="Times New Roman" w:hAnsi="Arial" w:cs="Arial"/>
          <w:i/>
          <w:iCs/>
          <w:sz w:val="20"/>
          <w:lang w:eastAsia="fr-FR"/>
        </w:rPr>
        <w:t xml:space="preserve"> de Bassila, 2024</w:t>
      </w:r>
      <w:r w:rsidR="008D4120" w:rsidRPr="002A17E3">
        <w:rPr>
          <w:rFonts w:ascii="Arial" w:eastAsia="Times New Roman" w:hAnsi="Arial" w:cs="Arial"/>
          <w:i/>
          <w:iCs/>
          <w:sz w:val="20"/>
          <w:lang w:eastAsia="fr-FR"/>
        </w:rPr>
        <w:t> – pages 5 à 7 – Tableaux n°1, 2, 5 et 9</w:t>
      </w:r>
    </w:p>
    <w:p w14:paraId="31221D18" w14:textId="77777777" w:rsidR="00256F8C" w:rsidRPr="002A17E3" w:rsidRDefault="00256F8C" w:rsidP="002A17E3">
      <w:pPr>
        <w:spacing w:after="0" w:line="240" w:lineRule="auto"/>
        <w:ind w:left="709" w:hanging="283"/>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3. ETAT DES RECETTES COMMUNALES (2020–2023)</w:t>
      </w:r>
    </w:p>
    <w:p w14:paraId="04C2F6EB" w14:textId="77777777" w:rsidR="00256F8C" w:rsidRPr="002A17E3" w:rsidRDefault="00256F8C" w:rsidP="002A17E3">
      <w:pPr>
        <w:pStyle w:val="Paragraphedeliste"/>
        <w:numPr>
          <w:ilvl w:val="0"/>
          <w:numId w:val="21"/>
        </w:numPr>
        <w:spacing w:after="0" w:line="240" w:lineRule="auto"/>
        <w:ind w:left="709"/>
        <w:rPr>
          <w:rFonts w:ascii="Arial" w:eastAsia="Times New Roman" w:hAnsi="Arial" w:cs="Arial"/>
          <w:b/>
          <w:bCs/>
          <w:sz w:val="24"/>
          <w:szCs w:val="24"/>
          <w:lang w:eastAsia="fr-FR"/>
        </w:rPr>
      </w:pPr>
      <w:r w:rsidRPr="002A17E3">
        <w:rPr>
          <w:rFonts w:ascii="Arial" w:eastAsia="Times New Roman" w:hAnsi="Arial" w:cs="Arial"/>
          <w:b/>
          <w:bCs/>
          <w:sz w:val="24"/>
          <w:szCs w:val="24"/>
          <w:u w:val="single"/>
          <w:lang w:eastAsia="fr-FR"/>
        </w:rPr>
        <w:t>Recettes propres</w:t>
      </w:r>
      <w:r w:rsidRPr="002A17E3">
        <w:rPr>
          <w:rFonts w:ascii="Arial" w:eastAsia="Times New Roman" w:hAnsi="Arial" w:cs="Arial"/>
          <w:b/>
          <w:bCs/>
          <w:sz w:val="24"/>
          <w:szCs w:val="24"/>
          <w:lang w:eastAsia="fr-FR"/>
        </w:rPr>
        <w:t xml:space="preserve"> :</w:t>
      </w:r>
    </w:p>
    <w:tbl>
      <w:tblPr>
        <w:tblStyle w:val="Grilledutableau"/>
        <w:tblW w:w="9351" w:type="dxa"/>
        <w:tblLook w:val="04A0" w:firstRow="1" w:lastRow="0" w:firstColumn="1" w:lastColumn="0" w:noHBand="0" w:noVBand="1"/>
      </w:tblPr>
      <w:tblGrid>
        <w:gridCol w:w="1555"/>
        <w:gridCol w:w="2551"/>
        <w:gridCol w:w="2693"/>
        <w:gridCol w:w="2552"/>
      </w:tblGrid>
      <w:tr w:rsidR="002A17E3" w:rsidRPr="002A17E3" w14:paraId="6BFEBBFC" w14:textId="77777777" w:rsidTr="00A11895">
        <w:trPr>
          <w:trHeight w:val="593"/>
        </w:trPr>
        <w:tc>
          <w:tcPr>
            <w:tcW w:w="1555" w:type="dxa"/>
            <w:shd w:val="clear" w:color="auto" w:fill="E2EFD9" w:themeFill="accent6" w:themeFillTint="33"/>
            <w:vAlign w:val="center"/>
          </w:tcPr>
          <w:p w14:paraId="468736A4" w14:textId="77777777" w:rsidR="00193D31" w:rsidRPr="002A17E3" w:rsidRDefault="00193D31" w:rsidP="002A17E3">
            <w:pPr>
              <w:jc w:val="center"/>
              <w:rPr>
                <w:rFonts w:ascii="Arial" w:eastAsia="Times New Roman" w:hAnsi="Arial" w:cs="Arial"/>
                <w:b/>
                <w:lang w:eastAsia="fr-FR"/>
              </w:rPr>
            </w:pPr>
            <w:r w:rsidRPr="002A17E3">
              <w:rPr>
                <w:rFonts w:ascii="Arial" w:eastAsia="Times New Roman" w:hAnsi="Arial" w:cs="Arial"/>
                <w:b/>
                <w:lang w:eastAsia="fr-FR"/>
              </w:rPr>
              <w:t>Année</w:t>
            </w:r>
          </w:p>
        </w:tc>
        <w:tc>
          <w:tcPr>
            <w:tcW w:w="2551" w:type="dxa"/>
            <w:shd w:val="clear" w:color="auto" w:fill="E2EFD9" w:themeFill="accent6" w:themeFillTint="33"/>
            <w:vAlign w:val="center"/>
          </w:tcPr>
          <w:p w14:paraId="4C47FDEE" w14:textId="77777777" w:rsidR="00193D31" w:rsidRPr="002A17E3" w:rsidRDefault="00193D31" w:rsidP="002A17E3">
            <w:pPr>
              <w:jc w:val="center"/>
              <w:rPr>
                <w:rFonts w:ascii="Arial" w:eastAsia="Times New Roman" w:hAnsi="Arial" w:cs="Arial"/>
                <w:b/>
                <w:lang w:eastAsia="fr-FR"/>
              </w:rPr>
            </w:pPr>
            <w:r w:rsidRPr="002A17E3">
              <w:rPr>
                <w:rFonts w:ascii="Arial" w:eastAsia="Times New Roman" w:hAnsi="Arial" w:cs="Arial"/>
                <w:b/>
                <w:lang w:eastAsia="fr-FR"/>
              </w:rPr>
              <w:t xml:space="preserve">Recettes fiscales </w:t>
            </w:r>
            <w:r w:rsidRPr="002A17E3">
              <w:rPr>
                <w:rFonts w:ascii="Arial" w:eastAsia="Times New Roman" w:hAnsi="Arial" w:cs="Arial"/>
                <w:lang w:eastAsia="fr-FR"/>
              </w:rPr>
              <w:t>(RF)</w:t>
            </w:r>
            <w:r w:rsidR="00E3037A" w:rsidRPr="002A17E3">
              <w:rPr>
                <w:rFonts w:ascii="Arial" w:eastAsia="Times New Roman" w:hAnsi="Arial" w:cs="Arial"/>
                <w:lang w:eastAsia="fr-FR"/>
              </w:rPr>
              <w:t xml:space="preserve"> </w:t>
            </w:r>
            <w:r w:rsidR="006341B7" w:rsidRPr="002A17E3">
              <w:rPr>
                <w:rFonts w:ascii="Arial" w:eastAsia="Times New Roman" w:hAnsi="Arial" w:cs="Arial"/>
                <w:lang w:eastAsia="fr-FR"/>
              </w:rPr>
              <w:t xml:space="preserve">en Million de </w:t>
            </w:r>
            <w:r w:rsidR="006D6953" w:rsidRPr="002A17E3">
              <w:rPr>
                <w:rFonts w:ascii="Arial" w:eastAsia="Times New Roman" w:hAnsi="Arial" w:cs="Arial"/>
                <w:lang w:eastAsia="fr-FR"/>
              </w:rPr>
              <w:t>FCFA</w:t>
            </w:r>
          </w:p>
        </w:tc>
        <w:tc>
          <w:tcPr>
            <w:tcW w:w="2693" w:type="dxa"/>
            <w:shd w:val="clear" w:color="auto" w:fill="E2EFD9" w:themeFill="accent6" w:themeFillTint="33"/>
            <w:vAlign w:val="center"/>
          </w:tcPr>
          <w:p w14:paraId="00E570D3" w14:textId="77777777" w:rsidR="00193D31" w:rsidRPr="002A17E3" w:rsidRDefault="00193D31" w:rsidP="002A17E3">
            <w:pPr>
              <w:ind w:left="-108" w:right="-108"/>
              <w:jc w:val="center"/>
              <w:rPr>
                <w:rFonts w:ascii="Arial" w:eastAsia="Times New Roman" w:hAnsi="Arial" w:cs="Arial"/>
                <w:b/>
                <w:lang w:eastAsia="fr-FR"/>
              </w:rPr>
            </w:pPr>
            <w:r w:rsidRPr="002A17E3">
              <w:rPr>
                <w:rFonts w:ascii="Arial" w:eastAsia="Times New Roman" w:hAnsi="Arial" w:cs="Arial"/>
                <w:b/>
                <w:lang w:eastAsia="fr-FR"/>
              </w:rPr>
              <w:t xml:space="preserve">Recettes Non Fiscales </w:t>
            </w:r>
            <w:r w:rsidRPr="002A17E3">
              <w:rPr>
                <w:rFonts w:ascii="Arial" w:eastAsia="Times New Roman" w:hAnsi="Arial" w:cs="Arial"/>
                <w:lang w:eastAsia="fr-FR"/>
              </w:rPr>
              <w:t>(RNF)</w:t>
            </w:r>
            <w:r w:rsidR="00E3037A" w:rsidRPr="002A17E3">
              <w:rPr>
                <w:rFonts w:ascii="Arial" w:eastAsia="Times New Roman" w:hAnsi="Arial" w:cs="Arial"/>
                <w:lang w:eastAsia="fr-FR"/>
              </w:rPr>
              <w:t xml:space="preserve"> </w:t>
            </w:r>
            <w:r w:rsidR="006341B7" w:rsidRPr="002A17E3">
              <w:rPr>
                <w:rFonts w:ascii="Arial" w:eastAsia="Times New Roman" w:hAnsi="Arial" w:cs="Arial"/>
                <w:lang w:eastAsia="fr-FR"/>
              </w:rPr>
              <w:t>en Million de</w:t>
            </w:r>
            <w:r w:rsidR="006D6953" w:rsidRPr="002A17E3">
              <w:rPr>
                <w:rFonts w:ascii="Arial" w:eastAsia="Times New Roman" w:hAnsi="Arial" w:cs="Arial"/>
                <w:lang w:eastAsia="fr-FR"/>
              </w:rPr>
              <w:t xml:space="preserve"> FCFA</w:t>
            </w:r>
          </w:p>
        </w:tc>
        <w:tc>
          <w:tcPr>
            <w:tcW w:w="2552" w:type="dxa"/>
            <w:shd w:val="clear" w:color="auto" w:fill="E2EFD9" w:themeFill="accent6" w:themeFillTint="33"/>
            <w:vAlign w:val="center"/>
          </w:tcPr>
          <w:p w14:paraId="7D260E90" w14:textId="77777777" w:rsidR="00193D31" w:rsidRPr="002A17E3" w:rsidRDefault="00193D31" w:rsidP="002A17E3">
            <w:pPr>
              <w:jc w:val="center"/>
              <w:rPr>
                <w:rFonts w:ascii="Arial" w:eastAsia="Times New Roman" w:hAnsi="Arial" w:cs="Arial"/>
                <w:b/>
                <w:lang w:eastAsia="fr-FR"/>
              </w:rPr>
            </w:pPr>
            <w:r w:rsidRPr="002A17E3">
              <w:rPr>
                <w:rFonts w:ascii="Arial" w:eastAsia="Times New Roman" w:hAnsi="Arial" w:cs="Arial"/>
                <w:b/>
                <w:lang w:eastAsia="fr-FR"/>
              </w:rPr>
              <w:t>Total</w:t>
            </w:r>
            <w:r w:rsidR="00A11895" w:rsidRPr="002A17E3">
              <w:rPr>
                <w:rFonts w:ascii="Arial" w:eastAsia="Times New Roman" w:hAnsi="Arial" w:cs="Arial"/>
                <w:b/>
                <w:lang w:eastAsia="fr-FR"/>
              </w:rPr>
              <w:t xml:space="preserve"> </w:t>
            </w:r>
          </w:p>
          <w:p w14:paraId="3809A832" w14:textId="77777777" w:rsidR="006D6953" w:rsidRPr="002A17E3" w:rsidRDefault="006341B7" w:rsidP="002A17E3">
            <w:pPr>
              <w:jc w:val="center"/>
              <w:rPr>
                <w:rFonts w:ascii="Arial" w:eastAsia="Times New Roman" w:hAnsi="Arial" w:cs="Arial"/>
                <w:lang w:eastAsia="fr-FR"/>
              </w:rPr>
            </w:pPr>
            <w:r w:rsidRPr="002A17E3">
              <w:rPr>
                <w:rFonts w:ascii="Arial" w:eastAsia="Times New Roman" w:hAnsi="Arial" w:cs="Arial"/>
                <w:lang w:eastAsia="fr-FR"/>
              </w:rPr>
              <w:t>en Million de</w:t>
            </w:r>
          </w:p>
          <w:p w14:paraId="65864B2C" w14:textId="77777777" w:rsidR="00A11895" w:rsidRPr="002A17E3" w:rsidRDefault="006D6953" w:rsidP="002A17E3">
            <w:pPr>
              <w:jc w:val="center"/>
              <w:rPr>
                <w:rFonts w:ascii="Arial" w:eastAsia="Times New Roman" w:hAnsi="Arial" w:cs="Arial"/>
                <w:b/>
                <w:lang w:eastAsia="fr-FR"/>
              </w:rPr>
            </w:pPr>
            <w:r w:rsidRPr="002A17E3">
              <w:rPr>
                <w:rFonts w:ascii="Arial" w:eastAsia="Times New Roman" w:hAnsi="Arial" w:cs="Arial"/>
                <w:lang w:eastAsia="fr-FR"/>
              </w:rPr>
              <w:t>FCFA</w:t>
            </w:r>
          </w:p>
        </w:tc>
      </w:tr>
      <w:tr w:rsidR="002A17E3" w:rsidRPr="002A17E3" w14:paraId="4B3BDDAE" w14:textId="77777777" w:rsidTr="00A11895">
        <w:trPr>
          <w:trHeight w:val="459"/>
        </w:trPr>
        <w:tc>
          <w:tcPr>
            <w:tcW w:w="1555" w:type="dxa"/>
            <w:vAlign w:val="center"/>
          </w:tcPr>
          <w:p w14:paraId="267EAD0E" w14:textId="77777777" w:rsidR="008D4120" w:rsidRPr="002A17E3" w:rsidRDefault="008D4120" w:rsidP="002A17E3">
            <w:pPr>
              <w:rPr>
                <w:rFonts w:ascii="Arial" w:eastAsia="Times New Roman" w:hAnsi="Arial" w:cs="Arial"/>
                <w:lang w:eastAsia="fr-FR"/>
              </w:rPr>
            </w:pPr>
            <w:r w:rsidRPr="002A17E3">
              <w:rPr>
                <w:rFonts w:ascii="Arial" w:eastAsia="Times New Roman" w:hAnsi="Arial" w:cs="Arial"/>
                <w:lang w:eastAsia="fr-FR"/>
              </w:rPr>
              <w:t>2020</w:t>
            </w:r>
          </w:p>
        </w:tc>
        <w:tc>
          <w:tcPr>
            <w:tcW w:w="2551" w:type="dxa"/>
            <w:vAlign w:val="center"/>
          </w:tcPr>
          <w:p w14:paraId="64C1CB53"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39,914</w:t>
            </w:r>
          </w:p>
        </w:tc>
        <w:tc>
          <w:tcPr>
            <w:tcW w:w="2693" w:type="dxa"/>
            <w:vAlign w:val="center"/>
          </w:tcPr>
          <w:p w14:paraId="79A215CD"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72,427</w:t>
            </w:r>
          </w:p>
        </w:tc>
        <w:tc>
          <w:tcPr>
            <w:tcW w:w="2552" w:type="dxa"/>
            <w:vAlign w:val="center"/>
          </w:tcPr>
          <w:p w14:paraId="5A2B53D4"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112,341</w:t>
            </w:r>
          </w:p>
        </w:tc>
      </w:tr>
      <w:tr w:rsidR="002A17E3" w:rsidRPr="002A17E3" w14:paraId="6DE01112" w14:textId="77777777" w:rsidTr="00A11895">
        <w:trPr>
          <w:trHeight w:val="410"/>
        </w:trPr>
        <w:tc>
          <w:tcPr>
            <w:tcW w:w="1555" w:type="dxa"/>
            <w:vAlign w:val="center"/>
          </w:tcPr>
          <w:p w14:paraId="52B44B1B" w14:textId="77777777" w:rsidR="008D4120" w:rsidRPr="002A17E3" w:rsidRDefault="008D4120" w:rsidP="002A17E3">
            <w:pPr>
              <w:rPr>
                <w:rFonts w:ascii="Arial" w:eastAsia="Times New Roman" w:hAnsi="Arial" w:cs="Arial"/>
                <w:lang w:eastAsia="fr-FR"/>
              </w:rPr>
            </w:pPr>
            <w:r w:rsidRPr="002A17E3">
              <w:rPr>
                <w:rFonts w:ascii="Arial" w:eastAsia="Times New Roman" w:hAnsi="Arial" w:cs="Arial"/>
                <w:lang w:eastAsia="fr-FR"/>
              </w:rPr>
              <w:t>2021</w:t>
            </w:r>
          </w:p>
        </w:tc>
        <w:tc>
          <w:tcPr>
            <w:tcW w:w="2551" w:type="dxa"/>
            <w:vAlign w:val="center"/>
          </w:tcPr>
          <w:p w14:paraId="69B21E0D"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64,775</w:t>
            </w:r>
          </w:p>
        </w:tc>
        <w:tc>
          <w:tcPr>
            <w:tcW w:w="2693" w:type="dxa"/>
            <w:vAlign w:val="center"/>
          </w:tcPr>
          <w:p w14:paraId="7137D15B"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101,184</w:t>
            </w:r>
          </w:p>
        </w:tc>
        <w:tc>
          <w:tcPr>
            <w:tcW w:w="2552" w:type="dxa"/>
            <w:vAlign w:val="center"/>
          </w:tcPr>
          <w:p w14:paraId="05677AD6"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165,959</w:t>
            </w:r>
          </w:p>
        </w:tc>
      </w:tr>
      <w:tr w:rsidR="002A17E3" w:rsidRPr="002A17E3" w14:paraId="762D2584" w14:textId="77777777" w:rsidTr="00A11895">
        <w:trPr>
          <w:trHeight w:val="416"/>
        </w:trPr>
        <w:tc>
          <w:tcPr>
            <w:tcW w:w="1555" w:type="dxa"/>
            <w:vAlign w:val="center"/>
          </w:tcPr>
          <w:p w14:paraId="47FBDB9F" w14:textId="77777777" w:rsidR="008D4120" w:rsidRPr="002A17E3" w:rsidRDefault="008D4120" w:rsidP="002A17E3">
            <w:pPr>
              <w:rPr>
                <w:rFonts w:ascii="Arial" w:eastAsia="Times New Roman" w:hAnsi="Arial" w:cs="Arial"/>
                <w:lang w:eastAsia="fr-FR"/>
              </w:rPr>
            </w:pPr>
            <w:r w:rsidRPr="002A17E3">
              <w:rPr>
                <w:rFonts w:ascii="Arial" w:eastAsia="Times New Roman" w:hAnsi="Arial" w:cs="Arial"/>
                <w:lang w:eastAsia="fr-FR"/>
              </w:rPr>
              <w:t>2022</w:t>
            </w:r>
          </w:p>
        </w:tc>
        <w:tc>
          <w:tcPr>
            <w:tcW w:w="2551" w:type="dxa"/>
            <w:vAlign w:val="center"/>
          </w:tcPr>
          <w:p w14:paraId="242534CF"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88,048</w:t>
            </w:r>
          </w:p>
        </w:tc>
        <w:tc>
          <w:tcPr>
            <w:tcW w:w="2693" w:type="dxa"/>
            <w:vAlign w:val="center"/>
          </w:tcPr>
          <w:p w14:paraId="4267BF11"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111,990</w:t>
            </w:r>
          </w:p>
        </w:tc>
        <w:tc>
          <w:tcPr>
            <w:tcW w:w="2552" w:type="dxa"/>
            <w:vAlign w:val="center"/>
          </w:tcPr>
          <w:p w14:paraId="2119CF29"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211,088</w:t>
            </w:r>
          </w:p>
        </w:tc>
      </w:tr>
      <w:tr w:rsidR="002A17E3" w:rsidRPr="002A17E3" w14:paraId="69B0C681" w14:textId="77777777" w:rsidTr="00A11895">
        <w:trPr>
          <w:trHeight w:val="421"/>
        </w:trPr>
        <w:tc>
          <w:tcPr>
            <w:tcW w:w="1555" w:type="dxa"/>
            <w:vAlign w:val="center"/>
          </w:tcPr>
          <w:p w14:paraId="3D05400D" w14:textId="77777777" w:rsidR="008D4120" w:rsidRPr="002A17E3" w:rsidRDefault="008D4120" w:rsidP="002A17E3">
            <w:pPr>
              <w:rPr>
                <w:rFonts w:ascii="Arial" w:eastAsia="Times New Roman" w:hAnsi="Arial" w:cs="Arial"/>
                <w:lang w:eastAsia="fr-FR"/>
              </w:rPr>
            </w:pPr>
            <w:r w:rsidRPr="002A17E3">
              <w:rPr>
                <w:rFonts w:ascii="Arial" w:eastAsia="Times New Roman" w:hAnsi="Arial" w:cs="Arial"/>
                <w:lang w:eastAsia="fr-FR"/>
              </w:rPr>
              <w:t>2023</w:t>
            </w:r>
          </w:p>
        </w:tc>
        <w:tc>
          <w:tcPr>
            <w:tcW w:w="2551" w:type="dxa"/>
            <w:vAlign w:val="center"/>
          </w:tcPr>
          <w:p w14:paraId="0D76F962"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77,976</w:t>
            </w:r>
          </w:p>
        </w:tc>
        <w:tc>
          <w:tcPr>
            <w:tcW w:w="2693" w:type="dxa"/>
            <w:vAlign w:val="center"/>
          </w:tcPr>
          <w:p w14:paraId="2849E318"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146,302</w:t>
            </w:r>
          </w:p>
        </w:tc>
        <w:tc>
          <w:tcPr>
            <w:tcW w:w="2552" w:type="dxa"/>
            <w:vAlign w:val="center"/>
          </w:tcPr>
          <w:p w14:paraId="3599D5ED" w14:textId="77777777" w:rsidR="008D4120" w:rsidRPr="002A17E3" w:rsidRDefault="008D4120" w:rsidP="002A17E3">
            <w:pPr>
              <w:jc w:val="center"/>
              <w:rPr>
                <w:rFonts w:ascii="Arial" w:eastAsia="Times New Roman" w:hAnsi="Arial" w:cs="Arial"/>
                <w:lang w:eastAsia="fr-FR"/>
              </w:rPr>
            </w:pPr>
            <w:r w:rsidRPr="002A17E3">
              <w:rPr>
                <w:rFonts w:ascii="Arial" w:eastAsia="Times New Roman" w:hAnsi="Arial" w:cs="Arial"/>
                <w:lang w:eastAsia="fr-FR"/>
              </w:rPr>
              <w:t>238,278</w:t>
            </w:r>
          </w:p>
        </w:tc>
      </w:tr>
    </w:tbl>
    <w:p w14:paraId="3DBC21CC" w14:textId="7D9A4816" w:rsidR="00256F8C" w:rsidRPr="002A17E3" w:rsidRDefault="00256F8C" w:rsidP="0014216A">
      <w:pPr>
        <w:spacing w:before="120" w:after="0" w:line="240" w:lineRule="auto"/>
        <w:rPr>
          <w:rFonts w:ascii="Arial" w:eastAsia="Times New Roman" w:hAnsi="Arial" w:cs="Arial"/>
          <w:sz w:val="20"/>
          <w:szCs w:val="20"/>
          <w:lang w:eastAsia="fr-FR"/>
        </w:rPr>
      </w:pPr>
      <w:r w:rsidRPr="002A17E3">
        <w:rPr>
          <w:rFonts w:ascii="Arial" w:eastAsia="Times New Roman" w:hAnsi="Arial" w:cs="Arial"/>
          <w:i/>
          <w:iCs/>
          <w:sz w:val="18"/>
          <w:szCs w:val="20"/>
          <w:u w:val="single"/>
          <w:lang w:eastAsia="fr-FR"/>
        </w:rPr>
        <w:t>Source</w:t>
      </w:r>
      <w:r w:rsidRPr="002A17E3">
        <w:rPr>
          <w:rFonts w:ascii="Arial" w:eastAsia="Times New Roman" w:hAnsi="Arial" w:cs="Arial"/>
          <w:i/>
          <w:iCs/>
          <w:sz w:val="18"/>
          <w:szCs w:val="20"/>
          <w:lang w:eastAsia="fr-FR"/>
        </w:rPr>
        <w:t xml:space="preserve"> : </w:t>
      </w:r>
      <w:r w:rsidR="006341B7" w:rsidRPr="002A17E3">
        <w:rPr>
          <w:rFonts w:ascii="Arial" w:eastAsia="Times New Roman" w:hAnsi="Arial" w:cs="Arial"/>
          <w:i/>
          <w:iCs/>
          <w:sz w:val="18"/>
          <w:szCs w:val="20"/>
          <w:lang w:eastAsia="fr-FR"/>
        </w:rPr>
        <w:t>Rapport EGF Bassila, pages 6 à 8 – Tableaux n°4, 7 et 10 ; Comptes administratifs 2020–2023.</w:t>
      </w:r>
    </w:p>
    <w:p w14:paraId="555B19CD" w14:textId="77777777" w:rsidR="005019D5" w:rsidRPr="002A17E3" w:rsidRDefault="005019D5" w:rsidP="009F494F">
      <w:pPr>
        <w:spacing w:before="100" w:beforeAutospacing="1" w:after="100" w:afterAutospacing="1" w:line="360" w:lineRule="auto"/>
        <w:rPr>
          <w:rFonts w:ascii="Arial" w:eastAsia="Times New Roman" w:hAnsi="Arial" w:cs="Arial"/>
          <w:b/>
          <w:bCs/>
          <w:sz w:val="24"/>
          <w:szCs w:val="24"/>
          <w:lang w:eastAsia="fr-FR"/>
        </w:rPr>
      </w:pPr>
    </w:p>
    <w:p w14:paraId="5F18B3C9" w14:textId="7FC4CECE" w:rsidR="005019D5" w:rsidRPr="002A17E3" w:rsidRDefault="005019D5" w:rsidP="009F494F">
      <w:pPr>
        <w:spacing w:before="100" w:beforeAutospacing="1" w:after="100" w:afterAutospacing="1" w:line="360" w:lineRule="auto"/>
        <w:rPr>
          <w:rFonts w:ascii="Arial" w:eastAsia="Times New Roman" w:hAnsi="Arial" w:cs="Arial"/>
          <w:b/>
          <w:bCs/>
          <w:sz w:val="24"/>
          <w:szCs w:val="24"/>
          <w:lang w:eastAsia="fr-FR"/>
        </w:rPr>
      </w:pPr>
      <w:r w:rsidRPr="002A17E3">
        <w:rPr>
          <w:noProof/>
        </w:rPr>
        <w:lastRenderedPageBreak/>
        <w:drawing>
          <wp:inline distT="0" distB="0" distL="0" distR="0" wp14:anchorId="3C3EA83A" wp14:editId="71ACCFCC">
            <wp:extent cx="5810250" cy="2743200"/>
            <wp:effectExtent l="0" t="0" r="0" b="0"/>
            <wp:docPr id="521396066" name="Graphique 1">
              <a:extLst xmlns:a="http://schemas.openxmlformats.org/drawingml/2006/main">
                <a:ext uri="{FF2B5EF4-FFF2-40B4-BE49-F238E27FC236}">
                  <a16:creationId xmlns:a16="http://schemas.microsoft.com/office/drawing/2014/main" id="{BA53A50A-2C36-193D-710D-374EF7F6D3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696E44" w14:textId="06DE1398" w:rsidR="00256F8C" w:rsidRPr="002A17E3" w:rsidRDefault="00256F8C" w:rsidP="002A17E3">
      <w:pPr>
        <w:pStyle w:val="Paragraphedeliste"/>
        <w:numPr>
          <w:ilvl w:val="0"/>
          <w:numId w:val="21"/>
        </w:numPr>
        <w:tabs>
          <w:tab w:val="left" w:pos="142"/>
        </w:tabs>
        <w:spacing w:before="100" w:beforeAutospacing="1" w:after="100" w:afterAutospacing="1" w:line="360" w:lineRule="auto"/>
        <w:ind w:left="1701" w:hanging="1843"/>
        <w:jc w:val="both"/>
        <w:rPr>
          <w:rFonts w:ascii="Arial" w:eastAsia="Times New Roman" w:hAnsi="Arial" w:cs="Arial"/>
          <w:sz w:val="24"/>
          <w:szCs w:val="24"/>
          <w:lang w:eastAsia="fr-FR"/>
        </w:rPr>
      </w:pPr>
      <w:r w:rsidRPr="002A17E3">
        <w:rPr>
          <w:rFonts w:ascii="Arial" w:eastAsia="Times New Roman" w:hAnsi="Arial" w:cs="Arial"/>
          <w:b/>
          <w:bCs/>
          <w:sz w:val="24"/>
          <w:szCs w:val="24"/>
          <w:lang w:eastAsia="fr-FR"/>
        </w:rPr>
        <w:t>Tendances :</w:t>
      </w:r>
      <w:r w:rsidRPr="002A17E3">
        <w:rPr>
          <w:rFonts w:ascii="Arial" w:eastAsia="Times New Roman" w:hAnsi="Arial" w:cs="Arial"/>
          <w:sz w:val="24"/>
          <w:szCs w:val="24"/>
          <w:lang w:eastAsia="fr-FR"/>
        </w:rPr>
        <w:t xml:space="preserve"> Croissance régulière des RNF, régression des RF en 2023. Forte</w:t>
      </w:r>
      <w:r w:rsidR="002A17E3">
        <w:rPr>
          <w:rFonts w:ascii="Arial" w:eastAsia="Times New Roman" w:hAnsi="Arial" w:cs="Arial"/>
          <w:sz w:val="24"/>
          <w:szCs w:val="24"/>
          <w:lang w:eastAsia="fr-FR"/>
        </w:rPr>
        <w:t xml:space="preserve"> </w:t>
      </w:r>
      <w:r w:rsidRPr="002A17E3">
        <w:rPr>
          <w:rFonts w:ascii="Arial" w:eastAsia="Times New Roman" w:hAnsi="Arial" w:cs="Arial"/>
          <w:sz w:val="24"/>
          <w:szCs w:val="24"/>
          <w:lang w:eastAsia="fr-FR"/>
        </w:rPr>
        <w:t>dépendance à la CDL (61% des RF).</w:t>
      </w:r>
    </w:p>
    <w:p w14:paraId="79E7B8FA" w14:textId="0BFB751C" w:rsidR="00256F8C" w:rsidRPr="002A17E3" w:rsidRDefault="00256F8C" w:rsidP="002A17E3">
      <w:pPr>
        <w:spacing w:after="0" w:line="360" w:lineRule="auto"/>
        <w:ind w:left="709" w:hanging="283"/>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 xml:space="preserve">4. </w:t>
      </w:r>
      <w:r w:rsidR="00811DDE" w:rsidRPr="002A17E3">
        <w:rPr>
          <w:rFonts w:ascii="Arial" w:eastAsia="Times New Roman" w:hAnsi="Arial" w:cs="Arial"/>
          <w:b/>
          <w:bCs/>
          <w:sz w:val="24"/>
          <w:szCs w:val="24"/>
          <w:lang w:eastAsia="fr-FR"/>
        </w:rPr>
        <w:t>Diagnostic</w:t>
      </w:r>
      <w:r w:rsidRPr="002A17E3">
        <w:rPr>
          <w:rFonts w:ascii="Arial" w:eastAsia="Times New Roman" w:hAnsi="Arial" w:cs="Arial"/>
          <w:b/>
          <w:bCs/>
          <w:sz w:val="24"/>
          <w:szCs w:val="24"/>
          <w:lang w:eastAsia="fr-FR"/>
        </w:rPr>
        <w:t xml:space="preserve"> FFOM</w:t>
      </w:r>
    </w:p>
    <w:tbl>
      <w:tblPr>
        <w:tblStyle w:val="Grilledutableau"/>
        <w:tblW w:w="9351" w:type="dxa"/>
        <w:tblInd w:w="35" w:type="dxa"/>
        <w:tblLook w:val="04A0" w:firstRow="1" w:lastRow="0" w:firstColumn="1" w:lastColumn="0" w:noHBand="0" w:noVBand="1"/>
      </w:tblPr>
      <w:tblGrid>
        <w:gridCol w:w="4673"/>
        <w:gridCol w:w="4678"/>
      </w:tblGrid>
      <w:tr w:rsidR="002A17E3" w:rsidRPr="002A17E3" w14:paraId="095EE72D" w14:textId="77777777" w:rsidTr="00071BAE">
        <w:trPr>
          <w:trHeight w:val="505"/>
        </w:trPr>
        <w:tc>
          <w:tcPr>
            <w:tcW w:w="9351" w:type="dxa"/>
            <w:gridSpan w:val="2"/>
            <w:tcBorders>
              <w:top w:val="nil"/>
              <w:left w:val="nil"/>
              <w:right w:val="nil"/>
            </w:tcBorders>
            <w:shd w:val="clear" w:color="auto" w:fill="auto"/>
            <w:vAlign w:val="center"/>
          </w:tcPr>
          <w:p w14:paraId="49B03E9D" w14:textId="77777777" w:rsidR="00071BAE" w:rsidRPr="002A17E3" w:rsidRDefault="00071BAE" w:rsidP="00071BAE">
            <w:pPr>
              <w:pStyle w:val="Paragraphedeliste"/>
              <w:numPr>
                <w:ilvl w:val="0"/>
                <w:numId w:val="17"/>
              </w:numPr>
              <w:rPr>
                <w:rFonts w:ascii="Arial" w:eastAsia="Times New Roman" w:hAnsi="Arial" w:cs="Arial"/>
                <w:b/>
                <w:sz w:val="24"/>
                <w:szCs w:val="24"/>
                <w:lang w:eastAsia="fr-FR"/>
              </w:rPr>
            </w:pPr>
            <w:r w:rsidRPr="002A17E3">
              <w:rPr>
                <w:rFonts w:ascii="Arial" w:eastAsia="Times New Roman" w:hAnsi="Arial" w:cs="Arial"/>
                <w:b/>
                <w:sz w:val="24"/>
                <w:szCs w:val="24"/>
                <w:lang w:eastAsia="fr-FR"/>
              </w:rPr>
              <w:t>INTERNE</w:t>
            </w:r>
          </w:p>
        </w:tc>
      </w:tr>
      <w:tr w:rsidR="002A17E3" w:rsidRPr="002A17E3" w14:paraId="0137FECA" w14:textId="77777777" w:rsidTr="00071BAE">
        <w:trPr>
          <w:trHeight w:val="432"/>
        </w:trPr>
        <w:tc>
          <w:tcPr>
            <w:tcW w:w="4673" w:type="dxa"/>
            <w:tcBorders>
              <w:bottom w:val="single" w:sz="4" w:space="0" w:color="auto"/>
            </w:tcBorders>
            <w:shd w:val="clear" w:color="auto" w:fill="E2EFD9" w:themeFill="accent6" w:themeFillTint="33"/>
            <w:vAlign w:val="center"/>
          </w:tcPr>
          <w:p w14:paraId="18D77088" w14:textId="77777777" w:rsidR="00071BAE" w:rsidRPr="002A17E3" w:rsidRDefault="00071BAE" w:rsidP="00071BAE">
            <w:pPr>
              <w:jc w:val="center"/>
              <w:rPr>
                <w:rFonts w:ascii="Arial" w:eastAsia="Times New Roman" w:hAnsi="Arial" w:cs="Arial"/>
                <w:b/>
                <w:bCs/>
                <w:lang w:eastAsia="fr-FR"/>
              </w:rPr>
            </w:pPr>
            <w:r w:rsidRPr="002A17E3">
              <w:rPr>
                <w:rFonts w:ascii="Arial" w:eastAsia="Times New Roman" w:hAnsi="Arial" w:cs="Arial"/>
                <w:b/>
                <w:bCs/>
                <w:lang w:eastAsia="fr-FR"/>
              </w:rPr>
              <w:t>FORCES</w:t>
            </w:r>
          </w:p>
        </w:tc>
        <w:tc>
          <w:tcPr>
            <w:tcW w:w="4678" w:type="dxa"/>
            <w:tcBorders>
              <w:bottom w:val="single" w:sz="4" w:space="0" w:color="auto"/>
            </w:tcBorders>
            <w:shd w:val="clear" w:color="auto" w:fill="E2EFD9" w:themeFill="accent6" w:themeFillTint="33"/>
            <w:vAlign w:val="center"/>
          </w:tcPr>
          <w:p w14:paraId="1C04DA50" w14:textId="77777777" w:rsidR="00071BAE" w:rsidRPr="002A17E3" w:rsidRDefault="00071BAE" w:rsidP="00071BAE">
            <w:pPr>
              <w:jc w:val="center"/>
              <w:rPr>
                <w:rFonts w:ascii="Arial" w:eastAsia="Times New Roman" w:hAnsi="Arial" w:cs="Arial"/>
                <w:b/>
                <w:bCs/>
                <w:lang w:eastAsia="fr-FR"/>
              </w:rPr>
            </w:pPr>
            <w:r w:rsidRPr="002A17E3">
              <w:rPr>
                <w:rFonts w:ascii="Arial" w:eastAsia="Times New Roman" w:hAnsi="Arial" w:cs="Arial"/>
                <w:b/>
                <w:bCs/>
                <w:lang w:eastAsia="fr-FR"/>
              </w:rPr>
              <w:t>FAIBLESSES</w:t>
            </w:r>
          </w:p>
        </w:tc>
      </w:tr>
      <w:tr w:rsidR="002A17E3" w:rsidRPr="002A17E3" w14:paraId="1060A035" w14:textId="77777777" w:rsidTr="00071BAE">
        <w:trPr>
          <w:trHeight w:val="715"/>
        </w:trPr>
        <w:tc>
          <w:tcPr>
            <w:tcW w:w="4673" w:type="dxa"/>
            <w:tcBorders>
              <w:bottom w:val="nil"/>
            </w:tcBorders>
            <w:vAlign w:val="center"/>
          </w:tcPr>
          <w:p w14:paraId="5C36490C"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Existence d’un plan stratégique de mobilisation des ressources</w:t>
            </w:r>
          </w:p>
        </w:tc>
        <w:tc>
          <w:tcPr>
            <w:tcW w:w="4678" w:type="dxa"/>
            <w:tcBorders>
              <w:bottom w:val="nil"/>
            </w:tcBorders>
            <w:vAlign w:val="center"/>
          </w:tcPr>
          <w:p w14:paraId="299D3E02"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Absence d’une base de données opérationnelle sur les contribuables</w:t>
            </w:r>
          </w:p>
        </w:tc>
      </w:tr>
      <w:tr w:rsidR="002A17E3" w:rsidRPr="002A17E3" w14:paraId="163530FB" w14:textId="77777777" w:rsidTr="00071BAE">
        <w:trPr>
          <w:trHeight w:val="715"/>
        </w:trPr>
        <w:tc>
          <w:tcPr>
            <w:tcW w:w="4673" w:type="dxa"/>
            <w:tcBorders>
              <w:top w:val="nil"/>
              <w:bottom w:val="nil"/>
            </w:tcBorders>
            <w:vAlign w:val="center"/>
          </w:tcPr>
          <w:p w14:paraId="65EEBDAF"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Forte demande locale de matériaux (carrières, actes administratifs, marchés, parking)</w:t>
            </w:r>
          </w:p>
        </w:tc>
        <w:tc>
          <w:tcPr>
            <w:tcW w:w="4678" w:type="dxa"/>
            <w:tcBorders>
              <w:top w:val="nil"/>
              <w:bottom w:val="nil"/>
            </w:tcBorders>
            <w:vAlign w:val="center"/>
          </w:tcPr>
          <w:p w14:paraId="12EFD7C4"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Insuffisance et non assermentation des agents collecteurs</w:t>
            </w:r>
          </w:p>
        </w:tc>
      </w:tr>
      <w:tr w:rsidR="002A17E3" w:rsidRPr="002A17E3" w14:paraId="306ED8EC" w14:textId="77777777" w:rsidTr="00071BAE">
        <w:trPr>
          <w:trHeight w:val="715"/>
        </w:trPr>
        <w:tc>
          <w:tcPr>
            <w:tcW w:w="4673" w:type="dxa"/>
            <w:tcBorders>
              <w:top w:val="nil"/>
              <w:bottom w:val="nil"/>
            </w:tcBorders>
            <w:vAlign w:val="center"/>
          </w:tcPr>
          <w:p w14:paraId="11A4B832"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Délibérations fiscales et volonté politique communale</w:t>
            </w:r>
          </w:p>
        </w:tc>
        <w:tc>
          <w:tcPr>
            <w:tcW w:w="4678" w:type="dxa"/>
            <w:tcBorders>
              <w:top w:val="nil"/>
              <w:bottom w:val="nil"/>
            </w:tcBorders>
            <w:vAlign w:val="center"/>
          </w:tcPr>
          <w:p w14:paraId="773B13AD"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Faible collaboration interinstitutionnelle (CIPE, syndicats, services fiscaux, etc.)</w:t>
            </w:r>
          </w:p>
        </w:tc>
      </w:tr>
      <w:tr w:rsidR="002A17E3" w:rsidRPr="002A17E3" w14:paraId="1718E509" w14:textId="77777777" w:rsidTr="00071BAE">
        <w:trPr>
          <w:trHeight w:val="715"/>
        </w:trPr>
        <w:tc>
          <w:tcPr>
            <w:tcW w:w="4673" w:type="dxa"/>
            <w:tcBorders>
              <w:top w:val="nil"/>
              <w:bottom w:val="nil"/>
            </w:tcBorders>
            <w:vAlign w:val="center"/>
          </w:tcPr>
          <w:p w14:paraId="27849FFD"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Position géographique stratégique (axe RNIE 3, proximité Togo)</w:t>
            </w:r>
          </w:p>
        </w:tc>
        <w:tc>
          <w:tcPr>
            <w:tcW w:w="4678" w:type="dxa"/>
            <w:tcBorders>
              <w:top w:val="nil"/>
              <w:bottom w:val="nil"/>
            </w:tcBorders>
            <w:vAlign w:val="center"/>
          </w:tcPr>
          <w:p w14:paraId="25FA86FA"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Marchés centraux non construits, équipements marchands dégradés</w:t>
            </w:r>
          </w:p>
        </w:tc>
      </w:tr>
      <w:tr w:rsidR="002A17E3" w:rsidRPr="002A17E3" w14:paraId="39F6178E" w14:textId="77777777" w:rsidTr="00071BAE">
        <w:trPr>
          <w:trHeight w:val="715"/>
        </w:trPr>
        <w:tc>
          <w:tcPr>
            <w:tcW w:w="4673" w:type="dxa"/>
            <w:tcBorders>
              <w:top w:val="nil"/>
              <w:bottom w:val="single" w:sz="4" w:space="0" w:color="auto"/>
            </w:tcBorders>
            <w:vAlign w:val="center"/>
          </w:tcPr>
          <w:p w14:paraId="3117574C"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Potentiel agricole, forestier, touristique et domanial important exploitable</w:t>
            </w:r>
          </w:p>
        </w:tc>
        <w:tc>
          <w:tcPr>
            <w:tcW w:w="4678" w:type="dxa"/>
            <w:tcBorders>
              <w:top w:val="nil"/>
              <w:bottom w:val="single" w:sz="4" w:space="0" w:color="auto"/>
            </w:tcBorders>
            <w:vAlign w:val="center"/>
          </w:tcPr>
          <w:p w14:paraId="677CCDF5" w14:textId="77777777" w:rsidR="00071BAE" w:rsidRPr="002A17E3" w:rsidRDefault="00071BAE" w:rsidP="00071BAE">
            <w:pPr>
              <w:rPr>
                <w:rFonts w:ascii="Arial" w:eastAsia="Times New Roman" w:hAnsi="Arial" w:cs="Arial"/>
                <w:lang w:eastAsia="fr-FR"/>
              </w:rPr>
            </w:pPr>
            <w:r w:rsidRPr="002A17E3">
              <w:rPr>
                <w:rFonts w:ascii="Arial" w:eastAsia="Times New Roman" w:hAnsi="Arial" w:cs="Arial"/>
                <w:lang w:eastAsia="fr-FR"/>
              </w:rPr>
              <w:t>• Absence d’un système de recouvrement informatisé (TAR non déployé)</w:t>
            </w:r>
          </w:p>
        </w:tc>
      </w:tr>
      <w:tr w:rsidR="002A17E3" w:rsidRPr="002A17E3" w14:paraId="61C47175" w14:textId="77777777" w:rsidTr="00071BAE">
        <w:trPr>
          <w:trHeight w:val="505"/>
        </w:trPr>
        <w:tc>
          <w:tcPr>
            <w:tcW w:w="9351" w:type="dxa"/>
            <w:gridSpan w:val="2"/>
            <w:tcBorders>
              <w:top w:val="nil"/>
              <w:left w:val="nil"/>
              <w:right w:val="nil"/>
            </w:tcBorders>
            <w:shd w:val="clear" w:color="auto" w:fill="auto"/>
            <w:vAlign w:val="center"/>
          </w:tcPr>
          <w:p w14:paraId="30F27D7A" w14:textId="77777777" w:rsidR="00071BAE" w:rsidRPr="002A17E3" w:rsidRDefault="00071BAE" w:rsidP="002A17E3">
            <w:pPr>
              <w:pStyle w:val="Paragraphedeliste"/>
              <w:numPr>
                <w:ilvl w:val="0"/>
                <w:numId w:val="17"/>
              </w:numPr>
              <w:rPr>
                <w:rFonts w:ascii="Arial" w:eastAsia="Times New Roman" w:hAnsi="Arial" w:cs="Arial"/>
                <w:b/>
                <w:sz w:val="24"/>
                <w:szCs w:val="24"/>
                <w:lang w:eastAsia="fr-FR"/>
              </w:rPr>
            </w:pPr>
            <w:r w:rsidRPr="002A17E3">
              <w:rPr>
                <w:rFonts w:ascii="Arial" w:eastAsia="Times New Roman" w:hAnsi="Arial" w:cs="Arial"/>
                <w:b/>
                <w:sz w:val="24"/>
                <w:szCs w:val="24"/>
                <w:lang w:eastAsia="fr-FR"/>
              </w:rPr>
              <w:t>EXTERNE</w:t>
            </w:r>
          </w:p>
        </w:tc>
      </w:tr>
      <w:tr w:rsidR="002A17E3" w:rsidRPr="002A17E3" w14:paraId="7F4785D9" w14:textId="77777777" w:rsidTr="00071BAE">
        <w:trPr>
          <w:trHeight w:val="633"/>
        </w:trPr>
        <w:tc>
          <w:tcPr>
            <w:tcW w:w="4673" w:type="dxa"/>
            <w:shd w:val="clear" w:color="auto" w:fill="E2EFD9" w:themeFill="accent6" w:themeFillTint="33"/>
            <w:vAlign w:val="center"/>
          </w:tcPr>
          <w:p w14:paraId="484181ED" w14:textId="77777777" w:rsidR="00071BAE" w:rsidRPr="002A17E3" w:rsidRDefault="00071BAE" w:rsidP="002A17E3">
            <w:pPr>
              <w:jc w:val="center"/>
              <w:rPr>
                <w:rFonts w:ascii="Times New Roman" w:eastAsia="Times New Roman" w:hAnsi="Times New Roman" w:cs="Times New Roman"/>
                <w:b/>
                <w:bCs/>
                <w:lang w:eastAsia="fr-FR"/>
              </w:rPr>
            </w:pPr>
            <w:r w:rsidRPr="002A17E3">
              <w:rPr>
                <w:rFonts w:ascii="Times New Roman" w:eastAsia="Times New Roman" w:hAnsi="Times New Roman" w:cs="Times New Roman"/>
                <w:b/>
                <w:bCs/>
                <w:lang w:eastAsia="fr-FR"/>
              </w:rPr>
              <w:t>OPPORTUNITÉS</w:t>
            </w:r>
          </w:p>
        </w:tc>
        <w:tc>
          <w:tcPr>
            <w:tcW w:w="4678" w:type="dxa"/>
            <w:shd w:val="clear" w:color="auto" w:fill="E2EFD9" w:themeFill="accent6" w:themeFillTint="33"/>
            <w:vAlign w:val="center"/>
          </w:tcPr>
          <w:p w14:paraId="14223492" w14:textId="77777777" w:rsidR="00071BAE" w:rsidRPr="002A17E3" w:rsidRDefault="00071BAE" w:rsidP="002A17E3">
            <w:pPr>
              <w:jc w:val="center"/>
              <w:rPr>
                <w:rFonts w:ascii="Times New Roman" w:eastAsia="Times New Roman" w:hAnsi="Times New Roman" w:cs="Times New Roman"/>
                <w:b/>
                <w:bCs/>
                <w:lang w:eastAsia="fr-FR"/>
              </w:rPr>
            </w:pPr>
            <w:r w:rsidRPr="002A17E3">
              <w:rPr>
                <w:rFonts w:ascii="Times New Roman" w:eastAsia="Times New Roman" w:hAnsi="Times New Roman" w:cs="Times New Roman"/>
                <w:b/>
                <w:bCs/>
                <w:lang w:eastAsia="fr-FR"/>
              </w:rPr>
              <w:t>MENACES</w:t>
            </w:r>
          </w:p>
        </w:tc>
      </w:tr>
      <w:tr w:rsidR="002A17E3" w:rsidRPr="002A17E3" w14:paraId="78957A58" w14:textId="77777777" w:rsidTr="00071BAE">
        <w:trPr>
          <w:trHeight w:val="633"/>
        </w:trPr>
        <w:tc>
          <w:tcPr>
            <w:tcW w:w="4673" w:type="dxa"/>
            <w:vAlign w:val="center"/>
          </w:tcPr>
          <w:p w14:paraId="75E6DA9A"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Appui des PTF et volonté de l’État de construire les marchés principaux</w:t>
            </w:r>
          </w:p>
        </w:tc>
        <w:tc>
          <w:tcPr>
            <w:tcW w:w="4678" w:type="dxa"/>
            <w:vAlign w:val="center"/>
          </w:tcPr>
          <w:p w14:paraId="345D410E"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Incivisme fiscal persistant et refus de paiement</w:t>
            </w:r>
          </w:p>
        </w:tc>
      </w:tr>
      <w:tr w:rsidR="002A17E3" w:rsidRPr="002A17E3" w14:paraId="100CB894" w14:textId="77777777" w:rsidTr="00071BAE">
        <w:trPr>
          <w:trHeight w:val="633"/>
        </w:trPr>
        <w:tc>
          <w:tcPr>
            <w:tcW w:w="4673" w:type="dxa"/>
            <w:vAlign w:val="center"/>
          </w:tcPr>
          <w:p w14:paraId="19836E05"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Existence de conventions signées (ex. CIPE-Mairie) à opérationnaliser</w:t>
            </w:r>
          </w:p>
        </w:tc>
        <w:tc>
          <w:tcPr>
            <w:tcW w:w="4678" w:type="dxa"/>
            <w:vAlign w:val="center"/>
          </w:tcPr>
          <w:p w14:paraId="62206698"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Concurrence ou désertification de certains marchés au profit d'autres (ex : Wari-Maro)</w:t>
            </w:r>
          </w:p>
        </w:tc>
      </w:tr>
      <w:tr w:rsidR="002A17E3" w:rsidRPr="002A17E3" w14:paraId="2F6928A5" w14:textId="77777777" w:rsidTr="00071BAE">
        <w:trPr>
          <w:trHeight w:val="633"/>
        </w:trPr>
        <w:tc>
          <w:tcPr>
            <w:tcW w:w="4673" w:type="dxa"/>
            <w:vAlign w:val="center"/>
          </w:tcPr>
          <w:p w14:paraId="5311B3B2"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Disponibilité de gisements identifiés mais sous-exploités (CDL, parking, boissons)</w:t>
            </w:r>
          </w:p>
        </w:tc>
        <w:tc>
          <w:tcPr>
            <w:tcW w:w="4678" w:type="dxa"/>
            <w:vAlign w:val="center"/>
          </w:tcPr>
          <w:p w14:paraId="69279AC3"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Exploitation illégale des ressources (carrières, bois, etc.)</w:t>
            </w:r>
          </w:p>
        </w:tc>
      </w:tr>
      <w:tr w:rsidR="002A17E3" w:rsidRPr="002A17E3" w14:paraId="0162A468" w14:textId="77777777" w:rsidTr="00071BAE">
        <w:trPr>
          <w:trHeight w:val="633"/>
        </w:trPr>
        <w:tc>
          <w:tcPr>
            <w:tcW w:w="4673" w:type="dxa"/>
            <w:vAlign w:val="center"/>
          </w:tcPr>
          <w:p w14:paraId="70491ACE"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Demande croissante en actes administratifs et services urbains (transport, marchés)</w:t>
            </w:r>
          </w:p>
        </w:tc>
        <w:tc>
          <w:tcPr>
            <w:tcW w:w="4678" w:type="dxa"/>
            <w:vAlign w:val="center"/>
          </w:tcPr>
          <w:p w14:paraId="3F963B02"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Faible acceptation ou usage des innovations (TAR rejeté par CIPE, etc.)</w:t>
            </w:r>
          </w:p>
        </w:tc>
      </w:tr>
      <w:tr w:rsidR="002A17E3" w:rsidRPr="002A17E3" w14:paraId="017C830C" w14:textId="77777777" w:rsidTr="00071BAE">
        <w:trPr>
          <w:trHeight w:val="633"/>
        </w:trPr>
        <w:tc>
          <w:tcPr>
            <w:tcW w:w="4673" w:type="dxa"/>
            <w:vAlign w:val="center"/>
          </w:tcPr>
          <w:p w14:paraId="4049D3BE"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lastRenderedPageBreak/>
              <w:t>• Engagements pour professionnaliser la collecte (CADEC, SSRM, contractualisation)</w:t>
            </w:r>
          </w:p>
        </w:tc>
        <w:tc>
          <w:tcPr>
            <w:tcW w:w="4678" w:type="dxa"/>
            <w:vAlign w:val="center"/>
          </w:tcPr>
          <w:p w14:paraId="6B4CEF12" w14:textId="77777777" w:rsidR="00071BAE" w:rsidRPr="002A17E3" w:rsidRDefault="00071BAE" w:rsidP="002A17E3">
            <w:pPr>
              <w:rPr>
                <w:rFonts w:ascii="Arial" w:eastAsia="Times New Roman" w:hAnsi="Arial" w:cs="Arial"/>
                <w:lang w:eastAsia="fr-FR"/>
              </w:rPr>
            </w:pPr>
            <w:r w:rsidRPr="002A17E3">
              <w:rPr>
                <w:rFonts w:ascii="Arial" w:eastAsia="Times New Roman" w:hAnsi="Arial" w:cs="Arial"/>
                <w:lang w:eastAsia="fr-FR"/>
              </w:rPr>
              <w:t>• Dépendance forte aux RNF sensibles aux fluctuations économiques</w:t>
            </w:r>
          </w:p>
        </w:tc>
      </w:tr>
    </w:tbl>
    <w:p w14:paraId="20BC206E" w14:textId="77777777" w:rsidR="00256F8C" w:rsidRPr="002A17E3" w:rsidRDefault="00256F8C" w:rsidP="002A17E3">
      <w:pPr>
        <w:spacing w:after="0" w:line="240" w:lineRule="auto"/>
        <w:rPr>
          <w:rFonts w:ascii="Times New Roman" w:eastAsia="Times New Roman" w:hAnsi="Times New Roman" w:cs="Times New Roman"/>
          <w:sz w:val="24"/>
          <w:szCs w:val="24"/>
          <w:lang w:eastAsia="fr-FR"/>
        </w:rPr>
      </w:pPr>
      <w:r w:rsidRPr="002A17E3">
        <w:rPr>
          <w:rFonts w:ascii="Arial" w:eastAsia="Times New Roman" w:hAnsi="Arial" w:cs="Arial"/>
          <w:i/>
          <w:iCs/>
          <w:sz w:val="24"/>
          <w:szCs w:val="24"/>
          <w:lang w:eastAsia="fr-FR"/>
        </w:rPr>
        <w:t>Source : Diagnostic FFOM, EGF Bassila 2024</w:t>
      </w:r>
      <w:r w:rsidR="00787F0E" w:rsidRPr="002A17E3">
        <w:rPr>
          <w:rFonts w:ascii="Arial" w:eastAsia="Times New Roman" w:hAnsi="Arial" w:cs="Arial"/>
          <w:i/>
          <w:iCs/>
          <w:sz w:val="24"/>
          <w:szCs w:val="24"/>
          <w:lang w:eastAsia="fr-FR"/>
        </w:rPr>
        <w:t xml:space="preserve"> ; </w:t>
      </w:r>
      <w:r w:rsidR="00787F0E" w:rsidRPr="002A17E3">
        <w:rPr>
          <w:rFonts w:ascii="Times New Roman" w:eastAsia="Times New Roman" w:hAnsi="Times New Roman" w:cs="Times New Roman"/>
          <w:sz w:val="24"/>
          <w:szCs w:val="24"/>
          <w:lang w:eastAsia="fr-FR"/>
        </w:rPr>
        <w:t>pages 19 à 21</w:t>
      </w:r>
    </w:p>
    <w:p w14:paraId="2110D1EE" w14:textId="77777777" w:rsidR="00476612" w:rsidRDefault="00476612" w:rsidP="002A17E3">
      <w:pPr>
        <w:spacing w:after="0" w:line="360" w:lineRule="auto"/>
        <w:outlineLvl w:val="1"/>
        <w:rPr>
          <w:rFonts w:ascii="Arial" w:eastAsia="Times New Roman" w:hAnsi="Arial" w:cs="Arial"/>
          <w:b/>
          <w:bCs/>
          <w:sz w:val="24"/>
          <w:szCs w:val="24"/>
          <w:lang w:eastAsia="fr-FR"/>
        </w:rPr>
      </w:pPr>
    </w:p>
    <w:p w14:paraId="6C34D0DC" w14:textId="68AF1DA2" w:rsidR="00944B50" w:rsidRPr="002A17E3" w:rsidRDefault="00944B50" w:rsidP="002A17E3">
      <w:pPr>
        <w:spacing w:after="0" w:line="360" w:lineRule="auto"/>
        <w:outlineLvl w:val="1"/>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B- VISION, ACTIONS &amp; GOUVERNANCE</w:t>
      </w:r>
    </w:p>
    <w:p w14:paraId="413D7667" w14:textId="77777777" w:rsidR="00944B50" w:rsidRPr="002A17E3" w:rsidRDefault="00944B50" w:rsidP="002A17E3">
      <w:pPr>
        <w:spacing w:after="0" w:line="360" w:lineRule="auto"/>
        <w:ind w:left="709" w:hanging="283"/>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t>5. Vision Stratégique &amp; Axes d’intervention</w:t>
      </w:r>
    </w:p>
    <w:p w14:paraId="6DF433FE" w14:textId="20DC9B85" w:rsidR="00944B50" w:rsidRPr="00476612" w:rsidRDefault="00944B50" w:rsidP="00476612">
      <w:pPr>
        <w:pStyle w:val="Paragraphedeliste"/>
        <w:numPr>
          <w:ilvl w:val="0"/>
          <w:numId w:val="17"/>
        </w:numPr>
        <w:spacing w:before="240" w:after="0" w:line="360" w:lineRule="auto"/>
        <w:ind w:left="284"/>
        <w:jc w:val="both"/>
        <w:rPr>
          <w:rFonts w:ascii="Arial" w:eastAsia="Times New Roman" w:hAnsi="Arial" w:cs="Arial"/>
          <w:sz w:val="24"/>
          <w:szCs w:val="24"/>
          <w:lang w:eastAsia="fr-FR"/>
        </w:rPr>
      </w:pPr>
      <w:r w:rsidRPr="002A17E3">
        <w:rPr>
          <w:rFonts w:ascii="Arial" w:eastAsia="Times New Roman" w:hAnsi="Arial" w:cs="Arial"/>
          <w:b/>
          <w:bCs/>
          <w:sz w:val="24"/>
          <w:szCs w:val="24"/>
          <w:u w:val="single"/>
          <w:lang w:eastAsia="fr-FR"/>
        </w:rPr>
        <w:t>Vision</w:t>
      </w:r>
      <w:r w:rsidRPr="002A17E3">
        <w:rPr>
          <w:rFonts w:ascii="Arial" w:eastAsia="Times New Roman" w:hAnsi="Arial" w:cs="Arial"/>
          <w:b/>
          <w:bCs/>
          <w:sz w:val="24"/>
          <w:szCs w:val="24"/>
          <w:lang w:eastAsia="fr-FR"/>
        </w:rPr>
        <w:t xml:space="preserve"> :</w:t>
      </w:r>
      <w:r w:rsidRPr="002A17E3">
        <w:rPr>
          <w:rFonts w:ascii="Arial" w:eastAsia="Times New Roman" w:hAnsi="Arial" w:cs="Arial"/>
          <w:sz w:val="24"/>
          <w:szCs w:val="24"/>
          <w:lang w:eastAsia="fr-FR"/>
        </w:rPr>
        <w:t xml:space="preserve"> </w:t>
      </w:r>
      <w:r w:rsidRPr="00476612">
        <w:rPr>
          <w:rFonts w:ascii="Arial" w:eastAsia="Times New Roman" w:hAnsi="Arial" w:cs="Arial"/>
          <w:i/>
          <w:iCs/>
          <w:sz w:val="28"/>
          <w:szCs w:val="28"/>
          <w:lang w:eastAsia="fr-FR"/>
        </w:rPr>
        <w:t>"D’ici 2026, la commune de Bassila, forte de l’implication de tous ses acteurs et de l’utilisation des outils numériques, maîtrise son gisement fiscal et optimise la mobilisation de ses ressources propres."</w:t>
      </w:r>
    </w:p>
    <w:p w14:paraId="42B10B02" w14:textId="77777777" w:rsidR="00476612" w:rsidRPr="002A17E3" w:rsidRDefault="00476612" w:rsidP="00476612">
      <w:pPr>
        <w:pStyle w:val="Paragraphedeliste"/>
        <w:spacing w:before="240" w:after="0" w:line="360" w:lineRule="auto"/>
        <w:ind w:left="284"/>
        <w:jc w:val="both"/>
        <w:rPr>
          <w:rFonts w:ascii="Arial" w:eastAsia="Times New Roman" w:hAnsi="Arial" w:cs="Arial"/>
          <w:sz w:val="24"/>
          <w:szCs w:val="24"/>
          <w:lang w:eastAsia="fr-FR"/>
        </w:rPr>
      </w:pPr>
    </w:p>
    <w:p w14:paraId="4C7B8AAA" w14:textId="08F68194" w:rsidR="00256F8C" w:rsidRPr="002A17E3" w:rsidRDefault="00256F8C" w:rsidP="002A17E3">
      <w:pPr>
        <w:pStyle w:val="Paragraphedeliste"/>
        <w:numPr>
          <w:ilvl w:val="0"/>
          <w:numId w:val="17"/>
        </w:numPr>
        <w:tabs>
          <w:tab w:val="left" w:pos="284"/>
        </w:tabs>
        <w:spacing w:before="240" w:after="0" w:line="360" w:lineRule="auto"/>
        <w:ind w:left="0" w:hanging="66"/>
        <w:outlineLvl w:val="2"/>
        <w:rPr>
          <w:rFonts w:ascii="Arial" w:eastAsia="Times New Roman" w:hAnsi="Arial" w:cs="Arial"/>
          <w:b/>
          <w:bCs/>
          <w:sz w:val="24"/>
          <w:szCs w:val="24"/>
          <w:lang w:eastAsia="fr-FR"/>
        </w:rPr>
      </w:pPr>
      <w:r w:rsidRPr="002A17E3">
        <w:rPr>
          <w:rFonts w:ascii="Arial" w:eastAsia="Times New Roman" w:hAnsi="Arial" w:cs="Arial"/>
          <w:b/>
          <w:bCs/>
          <w:sz w:val="24"/>
          <w:szCs w:val="24"/>
          <w:u w:val="single"/>
          <w:lang w:eastAsia="fr-FR"/>
        </w:rPr>
        <w:t>Axes d’amélioration prioritaires</w:t>
      </w:r>
      <w:r w:rsidR="00DA537B" w:rsidRPr="002A17E3">
        <w:rPr>
          <w:rFonts w:ascii="Arial" w:eastAsia="Times New Roman" w:hAnsi="Arial" w:cs="Arial"/>
          <w:b/>
          <w:bCs/>
          <w:sz w:val="24"/>
          <w:szCs w:val="24"/>
          <w:u w:val="single"/>
          <w:lang w:eastAsia="fr-FR"/>
        </w:rPr>
        <w:t xml:space="preserve"> et Plan d’Action Triennal</w:t>
      </w:r>
      <w:r w:rsidRPr="002A17E3">
        <w:rPr>
          <w:rFonts w:ascii="Arial" w:eastAsia="Times New Roman" w:hAnsi="Arial" w:cs="Arial"/>
          <w:b/>
          <w:bCs/>
          <w:sz w:val="24"/>
          <w:szCs w:val="24"/>
          <w:lang w:eastAsia="fr-FR"/>
        </w:rPr>
        <w:t xml:space="preserve"> : </w:t>
      </w:r>
    </w:p>
    <w:p w14:paraId="3A836B1C" w14:textId="77777777" w:rsidR="00944B50" w:rsidRPr="002A17E3" w:rsidRDefault="00944B50" w:rsidP="00944B50">
      <w:pPr>
        <w:spacing w:after="0" w:line="360" w:lineRule="auto"/>
        <w:ind w:left="709" w:hanging="283"/>
        <w:outlineLvl w:val="2"/>
        <w:rPr>
          <w:rFonts w:ascii="Arial" w:eastAsia="Times New Roman" w:hAnsi="Arial" w:cs="Arial"/>
          <w:b/>
          <w:bCs/>
          <w:sz w:val="14"/>
          <w:szCs w:val="24"/>
          <w:lang w:eastAsia="fr-FR"/>
        </w:rPr>
      </w:pPr>
    </w:p>
    <w:tbl>
      <w:tblPr>
        <w:tblStyle w:val="Grilledutableau"/>
        <w:tblW w:w="10348" w:type="dxa"/>
        <w:tblInd w:w="-572" w:type="dxa"/>
        <w:tblLayout w:type="fixed"/>
        <w:tblLook w:val="04A0" w:firstRow="1" w:lastRow="0" w:firstColumn="1" w:lastColumn="0" w:noHBand="0" w:noVBand="1"/>
      </w:tblPr>
      <w:tblGrid>
        <w:gridCol w:w="988"/>
        <w:gridCol w:w="1847"/>
        <w:gridCol w:w="4962"/>
        <w:gridCol w:w="1275"/>
        <w:gridCol w:w="1276"/>
      </w:tblGrid>
      <w:tr w:rsidR="002A17E3" w:rsidRPr="002A17E3" w14:paraId="6736EE13" w14:textId="77777777" w:rsidTr="00D27F0E">
        <w:trPr>
          <w:tblHeader/>
        </w:trPr>
        <w:tc>
          <w:tcPr>
            <w:tcW w:w="988" w:type="dxa"/>
            <w:shd w:val="clear" w:color="auto" w:fill="FFE599" w:themeFill="accent4" w:themeFillTint="66"/>
            <w:vAlign w:val="center"/>
          </w:tcPr>
          <w:p w14:paraId="5EB0D25C" w14:textId="77777777" w:rsidR="00C77241" w:rsidRPr="002A17E3" w:rsidRDefault="00C77241" w:rsidP="00CF465C">
            <w:pPr>
              <w:rPr>
                <w:rFonts w:ascii="Arial" w:eastAsia="Times New Roman" w:hAnsi="Arial" w:cs="Arial"/>
                <w:lang w:eastAsia="fr-FR"/>
              </w:rPr>
            </w:pPr>
            <w:r w:rsidRPr="002A17E3">
              <w:rPr>
                <w:rFonts w:ascii="Arial" w:eastAsia="Times New Roman" w:hAnsi="Arial" w:cs="Arial"/>
                <w:lang w:eastAsia="fr-FR"/>
              </w:rPr>
              <w:t>N° d’ordre</w:t>
            </w:r>
          </w:p>
        </w:tc>
        <w:tc>
          <w:tcPr>
            <w:tcW w:w="1847" w:type="dxa"/>
            <w:shd w:val="clear" w:color="auto" w:fill="FFE599" w:themeFill="accent4" w:themeFillTint="66"/>
            <w:vAlign w:val="center"/>
          </w:tcPr>
          <w:p w14:paraId="4082EE4F" w14:textId="77777777" w:rsidR="00C77241" w:rsidRPr="002A17E3" w:rsidRDefault="00C77241" w:rsidP="00CF465C">
            <w:pPr>
              <w:jc w:val="center"/>
              <w:rPr>
                <w:rFonts w:ascii="Arial" w:eastAsia="Times New Roman" w:hAnsi="Arial" w:cs="Arial"/>
                <w:b/>
                <w:bCs/>
                <w:lang w:eastAsia="fr-FR"/>
              </w:rPr>
            </w:pPr>
            <w:r w:rsidRPr="002A17E3">
              <w:rPr>
                <w:rFonts w:ascii="Arial" w:eastAsia="Times New Roman" w:hAnsi="Arial" w:cs="Arial"/>
                <w:b/>
                <w:bCs/>
                <w:lang w:eastAsia="fr-FR"/>
              </w:rPr>
              <w:t xml:space="preserve">Axe </w:t>
            </w:r>
          </w:p>
          <w:p w14:paraId="79FD3333" w14:textId="77777777" w:rsidR="00C77241" w:rsidRPr="002A17E3" w:rsidRDefault="00C77241" w:rsidP="00CF465C">
            <w:pPr>
              <w:jc w:val="center"/>
              <w:rPr>
                <w:rFonts w:ascii="Arial" w:eastAsia="Times New Roman" w:hAnsi="Arial" w:cs="Arial"/>
                <w:b/>
                <w:bCs/>
                <w:lang w:eastAsia="fr-FR"/>
              </w:rPr>
            </w:pPr>
            <w:r w:rsidRPr="002A17E3">
              <w:rPr>
                <w:rFonts w:ascii="Arial" w:eastAsia="Times New Roman" w:hAnsi="Arial" w:cs="Arial"/>
                <w:b/>
                <w:bCs/>
                <w:lang w:eastAsia="fr-FR"/>
              </w:rPr>
              <w:t>d’amélioration</w:t>
            </w:r>
          </w:p>
        </w:tc>
        <w:tc>
          <w:tcPr>
            <w:tcW w:w="4962" w:type="dxa"/>
            <w:shd w:val="clear" w:color="auto" w:fill="FFE599" w:themeFill="accent4" w:themeFillTint="66"/>
            <w:vAlign w:val="center"/>
          </w:tcPr>
          <w:p w14:paraId="01A217F4" w14:textId="77777777" w:rsidR="00C77241" w:rsidRPr="002A17E3" w:rsidRDefault="00C77241" w:rsidP="00CF465C">
            <w:pPr>
              <w:jc w:val="center"/>
              <w:rPr>
                <w:rFonts w:ascii="Arial" w:eastAsia="Times New Roman" w:hAnsi="Arial" w:cs="Arial"/>
                <w:b/>
                <w:bCs/>
                <w:lang w:eastAsia="fr-FR"/>
              </w:rPr>
            </w:pPr>
            <w:r w:rsidRPr="002A17E3">
              <w:rPr>
                <w:rFonts w:ascii="Arial" w:eastAsia="Times New Roman" w:hAnsi="Arial" w:cs="Arial"/>
                <w:b/>
                <w:bCs/>
                <w:lang w:eastAsia="fr-FR"/>
              </w:rPr>
              <w:t>Actions prioritaires</w:t>
            </w:r>
          </w:p>
        </w:tc>
        <w:tc>
          <w:tcPr>
            <w:tcW w:w="1275" w:type="dxa"/>
            <w:shd w:val="clear" w:color="auto" w:fill="FFE599" w:themeFill="accent4" w:themeFillTint="66"/>
            <w:vAlign w:val="center"/>
          </w:tcPr>
          <w:p w14:paraId="427D98D3" w14:textId="77777777" w:rsidR="00C77241" w:rsidRPr="002A17E3" w:rsidRDefault="00C77241" w:rsidP="00CF465C">
            <w:pPr>
              <w:jc w:val="center"/>
              <w:rPr>
                <w:rFonts w:ascii="Arial" w:eastAsia="Times New Roman" w:hAnsi="Arial" w:cs="Arial"/>
                <w:b/>
                <w:bCs/>
                <w:lang w:eastAsia="fr-FR"/>
              </w:rPr>
            </w:pPr>
            <w:r w:rsidRPr="002A17E3">
              <w:rPr>
                <w:rFonts w:ascii="Arial" w:eastAsia="Times New Roman" w:hAnsi="Arial" w:cs="Arial"/>
                <w:b/>
                <w:bCs/>
                <w:lang w:eastAsia="fr-FR"/>
              </w:rPr>
              <w:t>Responsa</w:t>
            </w:r>
            <w:r w:rsidR="009B451E" w:rsidRPr="002A17E3">
              <w:rPr>
                <w:rFonts w:ascii="Arial" w:eastAsia="Times New Roman" w:hAnsi="Arial" w:cs="Arial"/>
                <w:b/>
                <w:bCs/>
                <w:lang w:eastAsia="fr-FR"/>
              </w:rPr>
              <w:t>-</w:t>
            </w:r>
            <w:r w:rsidRPr="002A17E3">
              <w:rPr>
                <w:rFonts w:ascii="Arial" w:eastAsia="Times New Roman" w:hAnsi="Arial" w:cs="Arial"/>
                <w:b/>
                <w:bCs/>
                <w:lang w:eastAsia="fr-FR"/>
              </w:rPr>
              <w:t>bles</w:t>
            </w:r>
          </w:p>
        </w:tc>
        <w:tc>
          <w:tcPr>
            <w:tcW w:w="1276" w:type="dxa"/>
            <w:shd w:val="clear" w:color="auto" w:fill="FFE599" w:themeFill="accent4" w:themeFillTint="66"/>
            <w:vAlign w:val="center"/>
          </w:tcPr>
          <w:p w14:paraId="675C9E6F" w14:textId="77777777" w:rsidR="00C77241" w:rsidRPr="002A17E3" w:rsidRDefault="00C77241" w:rsidP="00CF465C">
            <w:pPr>
              <w:jc w:val="center"/>
              <w:rPr>
                <w:rFonts w:ascii="Arial" w:eastAsia="Times New Roman" w:hAnsi="Arial" w:cs="Arial"/>
                <w:b/>
                <w:bCs/>
                <w:lang w:eastAsia="fr-FR"/>
              </w:rPr>
            </w:pPr>
            <w:r w:rsidRPr="002A17E3">
              <w:rPr>
                <w:rFonts w:ascii="Arial" w:eastAsia="Times New Roman" w:hAnsi="Arial" w:cs="Arial"/>
                <w:b/>
                <w:bCs/>
                <w:lang w:eastAsia="fr-FR"/>
              </w:rPr>
              <w:t>Période</w:t>
            </w:r>
          </w:p>
        </w:tc>
      </w:tr>
      <w:tr w:rsidR="002A17E3" w:rsidRPr="002A17E3" w14:paraId="05500211" w14:textId="77777777" w:rsidTr="00D27F0E">
        <w:trPr>
          <w:trHeight w:val="496"/>
        </w:trPr>
        <w:tc>
          <w:tcPr>
            <w:tcW w:w="988" w:type="dxa"/>
          </w:tcPr>
          <w:p w14:paraId="4158425E" w14:textId="77777777" w:rsidR="00C77241" w:rsidRPr="002A17E3" w:rsidRDefault="00C77241" w:rsidP="00C77241">
            <w:pPr>
              <w:spacing w:before="360" w:after="100" w:afterAutospacing="1" w:line="276" w:lineRule="auto"/>
              <w:rPr>
                <w:rFonts w:ascii="Arial" w:eastAsia="Times New Roman" w:hAnsi="Arial" w:cs="Arial"/>
                <w:lang w:eastAsia="fr-FR"/>
              </w:rPr>
            </w:pPr>
            <w:r w:rsidRPr="002A17E3">
              <w:rPr>
                <w:rFonts w:ascii="Arial" w:eastAsia="Times New Roman" w:hAnsi="Arial" w:cs="Arial"/>
                <w:lang w:eastAsia="fr-FR"/>
              </w:rPr>
              <w:t>1</w:t>
            </w:r>
          </w:p>
        </w:tc>
        <w:tc>
          <w:tcPr>
            <w:tcW w:w="1847" w:type="dxa"/>
            <w:vAlign w:val="center"/>
          </w:tcPr>
          <w:p w14:paraId="71F6E677"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b/>
                <w:bCs/>
                <w:lang w:eastAsia="fr-FR"/>
              </w:rPr>
              <w:t>Renforcement du dispositif de recouvrement</w:t>
            </w:r>
          </w:p>
        </w:tc>
        <w:tc>
          <w:tcPr>
            <w:tcW w:w="4962" w:type="dxa"/>
            <w:vAlign w:val="center"/>
          </w:tcPr>
          <w:p w14:paraId="27F446AA"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Mettre en place un système informatisé (TAR) et une base de données des contribuables </w:t>
            </w:r>
          </w:p>
          <w:p w14:paraId="61479CBB"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Recruter, assermenter et contractualiser les agents collecteurs</w:t>
            </w:r>
          </w:p>
          <w:p w14:paraId="13549BE3"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Créer et rendre opérationnel le SSRM</w:t>
            </w:r>
          </w:p>
        </w:tc>
        <w:tc>
          <w:tcPr>
            <w:tcW w:w="1275" w:type="dxa"/>
            <w:vAlign w:val="center"/>
          </w:tcPr>
          <w:p w14:paraId="2FED00CC" w14:textId="77777777" w:rsidR="00C77241" w:rsidRPr="002A17E3" w:rsidRDefault="00D27F0E" w:rsidP="00C77241">
            <w:pPr>
              <w:rPr>
                <w:rFonts w:ascii="Arial" w:eastAsia="Times New Roman" w:hAnsi="Arial" w:cs="Arial"/>
                <w:lang w:eastAsia="fr-FR"/>
              </w:rPr>
            </w:pPr>
            <w:r w:rsidRPr="002A17E3">
              <w:rPr>
                <w:rFonts w:ascii="Arial" w:eastAsia="Times New Roman" w:hAnsi="Arial" w:cs="Arial"/>
                <w:lang w:eastAsia="fr-FR"/>
              </w:rPr>
              <w:t>SE, D</w:t>
            </w:r>
            <w:r w:rsidR="00C77241" w:rsidRPr="002A17E3">
              <w:rPr>
                <w:rFonts w:ascii="Arial" w:eastAsia="Times New Roman" w:hAnsi="Arial" w:cs="Arial"/>
                <w:lang w:eastAsia="fr-FR"/>
              </w:rPr>
              <w:t>AAF, CIPE</w:t>
            </w:r>
          </w:p>
        </w:tc>
        <w:tc>
          <w:tcPr>
            <w:tcW w:w="1276" w:type="dxa"/>
            <w:vMerge w:val="restart"/>
            <w:vAlign w:val="center"/>
          </w:tcPr>
          <w:p w14:paraId="324467D4"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2024-2026</w:t>
            </w:r>
          </w:p>
        </w:tc>
      </w:tr>
      <w:tr w:rsidR="002A17E3" w:rsidRPr="002A17E3" w14:paraId="5A1A440D" w14:textId="77777777" w:rsidTr="00D27F0E">
        <w:trPr>
          <w:trHeight w:val="496"/>
        </w:trPr>
        <w:tc>
          <w:tcPr>
            <w:tcW w:w="988" w:type="dxa"/>
          </w:tcPr>
          <w:p w14:paraId="696BF5AE" w14:textId="77777777" w:rsidR="00C77241" w:rsidRPr="002A17E3" w:rsidRDefault="00C77241" w:rsidP="00C77241">
            <w:pPr>
              <w:spacing w:before="360" w:after="100" w:afterAutospacing="1" w:line="276" w:lineRule="auto"/>
              <w:rPr>
                <w:rFonts w:ascii="Arial" w:eastAsia="Times New Roman" w:hAnsi="Arial" w:cs="Arial"/>
                <w:lang w:eastAsia="fr-FR"/>
              </w:rPr>
            </w:pPr>
            <w:r w:rsidRPr="002A17E3">
              <w:rPr>
                <w:rFonts w:ascii="Arial" w:eastAsia="Times New Roman" w:hAnsi="Arial" w:cs="Arial"/>
                <w:lang w:eastAsia="fr-FR"/>
              </w:rPr>
              <w:t>2</w:t>
            </w:r>
          </w:p>
        </w:tc>
        <w:tc>
          <w:tcPr>
            <w:tcW w:w="1847" w:type="dxa"/>
            <w:vAlign w:val="center"/>
          </w:tcPr>
          <w:p w14:paraId="6DBCF431"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b/>
                <w:bCs/>
                <w:lang w:eastAsia="fr-FR"/>
              </w:rPr>
              <w:t>Réhabilitation des infrastructures marchandes</w:t>
            </w:r>
          </w:p>
        </w:tc>
        <w:tc>
          <w:tcPr>
            <w:tcW w:w="4962" w:type="dxa"/>
            <w:vAlign w:val="center"/>
          </w:tcPr>
          <w:p w14:paraId="04F0EFCB"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Construire le marché central et réhabiliter les marchés secondaires </w:t>
            </w:r>
          </w:p>
          <w:p w14:paraId="2A2BF91E"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Formaliser l’usage des hangars, boutiques et domaines publics </w:t>
            </w:r>
          </w:p>
          <w:p w14:paraId="7400BA7A"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Étendre le recouvrement électronique et les mécanismes de suivi</w:t>
            </w:r>
          </w:p>
        </w:tc>
        <w:tc>
          <w:tcPr>
            <w:tcW w:w="1275" w:type="dxa"/>
            <w:vAlign w:val="center"/>
          </w:tcPr>
          <w:p w14:paraId="5AFEDE91"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Conseil communal, DST, C</w:t>
            </w:r>
            <w:r w:rsidR="00D27F0E" w:rsidRPr="002A17E3">
              <w:rPr>
                <w:rFonts w:ascii="Arial" w:eastAsia="Times New Roman" w:hAnsi="Arial" w:cs="Arial"/>
                <w:lang w:eastAsia="fr-FR"/>
              </w:rPr>
              <w:t>/SAEM, D</w:t>
            </w:r>
            <w:r w:rsidRPr="002A17E3">
              <w:rPr>
                <w:rFonts w:ascii="Arial" w:eastAsia="Times New Roman" w:hAnsi="Arial" w:cs="Arial"/>
                <w:lang w:eastAsia="fr-FR"/>
              </w:rPr>
              <w:t>AAF</w:t>
            </w:r>
          </w:p>
        </w:tc>
        <w:tc>
          <w:tcPr>
            <w:tcW w:w="1276" w:type="dxa"/>
            <w:vMerge/>
          </w:tcPr>
          <w:p w14:paraId="7EAD5170" w14:textId="77777777" w:rsidR="00C77241" w:rsidRPr="002A17E3" w:rsidRDefault="00C77241" w:rsidP="00C77241">
            <w:pPr>
              <w:rPr>
                <w:rFonts w:ascii="Arial" w:eastAsia="Times New Roman" w:hAnsi="Arial" w:cs="Arial"/>
                <w:lang w:eastAsia="fr-FR"/>
              </w:rPr>
            </w:pPr>
          </w:p>
        </w:tc>
      </w:tr>
      <w:tr w:rsidR="002A17E3" w:rsidRPr="002A17E3" w14:paraId="669052F1" w14:textId="77777777" w:rsidTr="00D27F0E">
        <w:trPr>
          <w:trHeight w:val="496"/>
        </w:trPr>
        <w:tc>
          <w:tcPr>
            <w:tcW w:w="988" w:type="dxa"/>
          </w:tcPr>
          <w:p w14:paraId="3CB1850F" w14:textId="77777777" w:rsidR="00C77241" w:rsidRPr="002A17E3" w:rsidRDefault="00C77241" w:rsidP="00C77241">
            <w:pPr>
              <w:spacing w:before="360" w:after="100" w:afterAutospacing="1" w:line="276" w:lineRule="auto"/>
              <w:rPr>
                <w:rFonts w:ascii="Arial" w:eastAsia="Times New Roman" w:hAnsi="Arial" w:cs="Arial"/>
                <w:lang w:eastAsia="fr-FR"/>
              </w:rPr>
            </w:pPr>
            <w:r w:rsidRPr="002A17E3">
              <w:rPr>
                <w:rFonts w:ascii="Arial" w:eastAsia="Times New Roman" w:hAnsi="Arial" w:cs="Arial"/>
                <w:lang w:eastAsia="fr-FR"/>
              </w:rPr>
              <w:t>3</w:t>
            </w:r>
          </w:p>
        </w:tc>
        <w:tc>
          <w:tcPr>
            <w:tcW w:w="1847" w:type="dxa"/>
            <w:vAlign w:val="center"/>
          </w:tcPr>
          <w:p w14:paraId="014A5E3B" w14:textId="77777777" w:rsidR="00C77241" w:rsidRPr="002A17E3" w:rsidRDefault="00C77241" w:rsidP="00C77241">
            <w:pPr>
              <w:rPr>
                <w:rFonts w:ascii="Arial" w:eastAsia="Times New Roman" w:hAnsi="Arial" w:cs="Arial"/>
                <w:b/>
                <w:bCs/>
                <w:lang w:eastAsia="fr-FR"/>
              </w:rPr>
            </w:pPr>
            <w:r w:rsidRPr="002A17E3">
              <w:rPr>
                <w:rFonts w:ascii="Arial" w:eastAsia="Times New Roman" w:hAnsi="Arial" w:cs="Arial"/>
                <w:b/>
                <w:bCs/>
                <w:lang w:eastAsia="fr-FR"/>
              </w:rPr>
              <w:t xml:space="preserve">Profession-nalisation et coordination </w:t>
            </w:r>
          </w:p>
          <w:p w14:paraId="1D0D9F61"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b/>
                <w:bCs/>
                <w:lang w:eastAsia="fr-FR"/>
              </w:rPr>
              <w:t>des acteurs</w:t>
            </w:r>
          </w:p>
        </w:tc>
        <w:tc>
          <w:tcPr>
            <w:tcW w:w="4962" w:type="dxa"/>
            <w:vAlign w:val="center"/>
          </w:tcPr>
          <w:p w14:paraId="2EA80A95"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Mettre en œuvre la convention CIPE-Mairie </w:t>
            </w:r>
          </w:p>
          <w:p w14:paraId="7FAAB9E6"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Instaurer un cadre de concertation et une brigade spéciale de suivi </w:t>
            </w:r>
          </w:p>
          <w:p w14:paraId="53AAA4DA"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Déployer le CADEC comme interface économique locale</w:t>
            </w:r>
          </w:p>
        </w:tc>
        <w:tc>
          <w:tcPr>
            <w:tcW w:w="1275" w:type="dxa"/>
            <w:vAlign w:val="center"/>
          </w:tcPr>
          <w:p w14:paraId="54831DD4" w14:textId="77777777" w:rsidR="00C77241" w:rsidRPr="002A17E3" w:rsidRDefault="00D27F0E" w:rsidP="00C77241">
            <w:pPr>
              <w:rPr>
                <w:rFonts w:ascii="Arial" w:eastAsia="Times New Roman" w:hAnsi="Arial" w:cs="Arial"/>
                <w:lang w:eastAsia="fr-FR"/>
              </w:rPr>
            </w:pPr>
            <w:r w:rsidRPr="002A17E3">
              <w:rPr>
                <w:rFonts w:ascii="Arial" w:eastAsia="Times New Roman" w:hAnsi="Arial" w:cs="Arial"/>
                <w:lang w:eastAsia="fr-FR"/>
              </w:rPr>
              <w:t>SE, Maire, CIPE, D</w:t>
            </w:r>
            <w:r w:rsidR="00C77241" w:rsidRPr="002A17E3">
              <w:rPr>
                <w:rFonts w:ascii="Arial" w:eastAsia="Times New Roman" w:hAnsi="Arial" w:cs="Arial"/>
                <w:lang w:eastAsia="fr-FR"/>
              </w:rPr>
              <w:t>AAF</w:t>
            </w:r>
          </w:p>
        </w:tc>
        <w:tc>
          <w:tcPr>
            <w:tcW w:w="1276" w:type="dxa"/>
            <w:vMerge/>
          </w:tcPr>
          <w:p w14:paraId="451C37AA" w14:textId="77777777" w:rsidR="00C77241" w:rsidRPr="002A17E3" w:rsidRDefault="00C77241" w:rsidP="00C77241">
            <w:pPr>
              <w:rPr>
                <w:rFonts w:ascii="Arial" w:eastAsia="Times New Roman" w:hAnsi="Arial" w:cs="Arial"/>
                <w:lang w:eastAsia="fr-FR"/>
              </w:rPr>
            </w:pPr>
          </w:p>
        </w:tc>
      </w:tr>
      <w:tr w:rsidR="002A17E3" w:rsidRPr="002A17E3" w14:paraId="105D3ACB" w14:textId="77777777" w:rsidTr="00D27F0E">
        <w:trPr>
          <w:trHeight w:val="496"/>
        </w:trPr>
        <w:tc>
          <w:tcPr>
            <w:tcW w:w="988" w:type="dxa"/>
          </w:tcPr>
          <w:p w14:paraId="49CACDC1" w14:textId="77777777" w:rsidR="00C77241" w:rsidRPr="002A17E3" w:rsidRDefault="00C77241" w:rsidP="00C77241">
            <w:pPr>
              <w:spacing w:before="360" w:after="100" w:afterAutospacing="1" w:line="276" w:lineRule="auto"/>
              <w:rPr>
                <w:rFonts w:ascii="Arial" w:eastAsia="Times New Roman" w:hAnsi="Arial" w:cs="Arial"/>
                <w:lang w:eastAsia="fr-FR"/>
              </w:rPr>
            </w:pPr>
            <w:r w:rsidRPr="002A17E3">
              <w:rPr>
                <w:rFonts w:ascii="Arial" w:eastAsia="Times New Roman" w:hAnsi="Arial" w:cs="Arial"/>
                <w:lang w:eastAsia="fr-FR"/>
              </w:rPr>
              <w:t>4</w:t>
            </w:r>
          </w:p>
        </w:tc>
        <w:tc>
          <w:tcPr>
            <w:tcW w:w="1847" w:type="dxa"/>
            <w:vAlign w:val="center"/>
          </w:tcPr>
          <w:p w14:paraId="044435AA"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b/>
                <w:bCs/>
                <w:lang w:eastAsia="fr-FR"/>
              </w:rPr>
              <w:t>Exploitation des gisements sous-utilisés</w:t>
            </w:r>
          </w:p>
        </w:tc>
        <w:tc>
          <w:tcPr>
            <w:tcW w:w="4962" w:type="dxa"/>
            <w:vAlign w:val="center"/>
          </w:tcPr>
          <w:p w14:paraId="47CB7859"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Structurer l’exploitation des carrières, bois, boissons, stationnements </w:t>
            </w:r>
          </w:p>
          <w:p w14:paraId="63D4D402"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xml:space="preserve">• Organiser le recouvrement de la CDL sur les ressources agricoles, forestières et touristiques </w:t>
            </w:r>
          </w:p>
          <w:p w14:paraId="76D63D38" w14:textId="77777777" w:rsidR="00C77241" w:rsidRPr="002A17E3" w:rsidRDefault="00C77241" w:rsidP="00C77241">
            <w:pPr>
              <w:rPr>
                <w:rFonts w:ascii="Arial" w:eastAsia="Times New Roman" w:hAnsi="Arial" w:cs="Arial"/>
                <w:lang w:eastAsia="fr-FR"/>
              </w:rPr>
            </w:pPr>
            <w:r w:rsidRPr="002A17E3">
              <w:rPr>
                <w:rFonts w:ascii="Arial" w:eastAsia="Times New Roman" w:hAnsi="Arial" w:cs="Arial"/>
                <w:lang w:eastAsia="fr-FR"/>
              </w:rPr>
              <w:t>• Relancer marchés à bétail, redevances fermiers, taxe taxis-motos</w:t>
            </w:r>
          </w:p>
        </w:tc>
        <w:tc>
          <w:tcPr>
            <w:tcW w:w="1275" w:type="dxa"/>
            <w:vAlign w:val="center"/>
          </w:tcPr>
          <w:p w14:paraId="13F78E26" w14:textId="77777777" w:rsidR="00C77241" w:rsidRPr="002A17E3" w:rsidRDefault="00D27F0E" w:rsidP="00C77241">
            <w:pPr>
              <w:rPr>
                <w:rFonts w:ascii="Arial" w:eastAsia="Times New Roman" w:hAnsi="Arial" w:cs="Arial"/>
                <w:lang w:eastAsia="fr-FR"/>
              </w:rPr>
            </w:pPr>
            <w:r w:rsidRPr="002A17E3">
              <w:rPr>
                <w:rFonts w:ascii="Arial" w:eastAsia="Times New Roman" w:hAnsi="Arial" w:cs="Arial"/>
                <w:lang w:eastAsia="fr-FR"/>
              </w:rPr>
              <w:t>D</w:t>
            </w:r>
            <w:r w:rsidR="00C77241" w:rsidRPr="002A17E3">
              <w:rPr>
                <w:rFonts w:ascii="Arial" w:eastAsia="Times New Roman" w:hAnsi="Arial" w:cs="Arial"/>
                <w:lang w:eastAsia="fr-FR"/>
              </w:rPr>
              <w:t>AAF, DST, C</w:t>
            </w:r>
            <w:r w:rsidRPr="002A17E3">
              <w:rPr>
                <w:rFonts w:ascii="Arial" w:eastAsia="Times New Roman" w:hAnsi="Arial" w:cs="Arial"/>
                <w:lang w:eastAsia="fr-FR"/>
              </w:rPr>
              <w:t>/</w:t>
            </w:r>
            <w:r w:rsidR="00C77241" w:rsidRPr="002A17E3">
              <w:rPr>
                <w:rFonts w:ascii="Arial" w:eastAsia="Times New Roman" w:hAnsi="Arial" w:cs="Arial"/>
                <w:lang w:eastAsia="fr-FR"/>
              </w:rPr>
              <w:t>SAEM, CIPE, SE</w:t>
            </w:r>
          </w:p>
        </w:tc>
        <w:tc>
          <w:tcPr>
            <w:tcW w:w="1276" w:type="dxa"/>
            <w:vMerge/>
          </w:tcPr>
          <w:p w14:paraId="1B150493" w14:textId="77777777" w:rsidR="00C77241" w:rsidRPr="002A17E3" w:rsidRDefault="00C77241" w:rsidP="00C77241">
            <w:pPr>
              <w:rPr>
                <w:rFonts w:ascii="Arial" w:eastAsia="Times New Roman" w:hAnsi="Arial" w:cs="Arial"/>
                <w:lang w:eastAsia="fr-FR"/>
              </w:rPr>
            </w:pPr>
          </w:p>
        </w:tc>
      </w:tr>
      <w:tr w:rsidR="002A17E3" w:rsidRPr="002A17E3" w14:paraId="73653BAC" w14:textId="77777777" w:rsidTr="00D27F0E">
        <w:trPr>
          <w:trHeight w:val="496"/>
        </w:trPr>
        <w:tc>
          <w:tcPr>
            <w:tcW w:w="988" w:type="dxa"/>
          </w:tcPr>
          <w:p w14:paraId="63A54AD8" w14:textId="77777777" w:rsidR="00C77241" w:rsidRPr="002A17E3" w:rsidRDefault="00C77241" w:rsidP="00854BDD">
            <w:pPr>
              <w:spacing w:line="276" w:lineRule="auto"/>
              <w:rPr>
                <w:rFonts w:ascii="Arial" w:eastAsia="Times New Roman" w:hAnsi="Arial" w:cs="Arial"/>
                <w:lang w:eastAsia="fr-FR"/>
              </w:rPr>
            </w:pPr>
            <w:r w:rsidRPr="002A17E3">
              <w:rPr>
                <w:rFonts w:ascii="Arial" w:eastAsia="Times New Roman" w:hAnsi="Arial" w:cs="Arial"/>
                <w:lang w:eastAsia="fr-FR"/>
              </w:rPr>
              <w:t>5</w:t>
            </w:r>
          </w:p>
        </w:tc>
        <w:tc>
          <w:tcPr>
            <w:tcW w:w="1847" w:type="dxa"/>
            <w:vAlign w:val="center"/>
          </w:tcPr>
          <w:p w14:paraId="57353D26" w14:textId="77777777" w:rsidR="00C77241" w:rsidRPr="002A17E3" w:rsidRDefault="00C77241" w:rsidP="00854BDD">
            <w:pPr>
              <w:rPr>
                <w:rFonts w:ascii="Arial" w:eastAsia="Times New Roman" w:hAnsi="Arial" w:cs="Arial"/>
                <w:lang w:eastAsia="fr-FR"/>
              </w:rPr>
            </w:pPr>
            <w:r w:rsidRPr="002A17E3">
              <w:rPr>
                <w:rFonts w:ascii="Arial" w:eastAsia="Times New Roman" w:hAnsi="Arial" w:cs="Arial"/>
                <w:b/>
                <w:bCs/>
                <w:lang w:eastAsia="fr-FR"/>
              </w:rPr>
              <w:t>Gouvernance, pilotage et suivi-évaluation</w:t>
            </w:r>
          </w:p>
        </w:tc>
        <w:tc>
          <w:tcPr>
            <w:tcW w:w="4962" w:type="dxa"/>
            <w:vAlign w:val="center"/>
          </w:tcPr>
          <w:p w14:paraId="3077BE3C" w14:textId="77777777" w:rsidR="00C77241" w:rsidRPr="002A17E3" w:rsidRDefault="00C77241" w:rsidP="00854BDD">
            <w:pPr>
              <w:rPr>
                <w:rFonts w:ascii="Arial" w:eastAsia="Times New Roman" w:hAnsi="Arial" w:cs="Arial"/>
                <w:lang w:eastAsia="fr-FR"/>
              </w:rPr>
            </w:pPr>
            <w:r w:rsidRPr="002A17E3">
              <w:rPr>
                <w:rFonts w:ascii="Arial" w:eastAsia="Times New Roman" w:hAnsi="Arial" w:cs="Arial"/>
                <w:lang w:eastAsia="fr-FR"/>
              </w:rPr>
              <w:t xml:space="preserve">• Mettre en place un plan semestriel de suivi-évaluation du PSMR </w:t>
            </w:r>
          </w:p>
          <w:p w14:paraId="7CC9DF0E" w14:textId="77777777" w:rsidR="00C77241" w:rsidRPr="002A17E3" w:rsidRDefault="00C77241" w:rsidP="00854BDD">
            <w:pPr>
              <w:rPr>
                <w:rFonts w:ascii="Arial" w:eastAsia="Times New Roman" w:hAnsi="Arial" w:cs="Arial"/>
                <w:lang w:eastAsia="fr-FR"/>
              </w:rPr>
            </w:pPr>
            <w:r w:rsidRPr="002A17E3">
              <w:rPr>
                <w:rFonts w:ascii="Arial" w:eastAsia="Times New Roman" w:hAnsi="Arial" w:cs="Arial"/>
                <w:lang w:eastAsia="fr-FR"/>
              </w:rPr>
              <w:t xml:space="preserve">• Organiser des ateliers de reddition de comptes </w:t>
            </w:r>
          </w:p>
          <w:p w14:paraId="677F256D" w14:textId="77777777" w:rsidR="00C77241" w:rsidRPr="002A17E3" w:rsidRDefault="00C77241" w:rsidP="00854BDD">
            <w:pPr>
              <w:rPr>
                <w:rFonts w:ascii="Arial" w:eastAsia="Times New Roman" w:hAnsi="Arial" w:cs="Arial"/>
                <w:lang w:eastAsia="fr-FR"/>
              </w:rPr>
            </w:pPr>
            <w:r w:rsidRPr="002A17E3">
              <w:rPr>
                <w:rFonts w:ascii="Arial" w:eastAsia="Times New Roman" w:hAnsi="Arial" w:cs="Arial"/>
                <w:lang w:eastAsia="fr-FR"/>
              </w:rPr>
              <w:t>• Impliquer activement les élus dans la mobilisation des ressources</w:t>
            </w:r>
          </w:p>
        </w:tc>
        <w:tc>
          <w:tcPr>
            <w:tcW w:w="1275" w:type="dxa"/>
            <w:vAlign w:val="center"/>
          </w:tcPr>
          <w:p w14:paraId="13CBC4DB" w14:textId="77777777" w:rsidR="00C77241" w:rsidRPr="002A17E3" w:rsidRDefault="00D27F0E" w:rsidP="00854BDD">
            <w:pPr>
              <w:rPr>
                <w:rFonts w:ascii="Arial" w:eastAsia="Times New Roman" w:hAnsi="Arial" w:cs="Arial"/>
                <w:lang w:eastAsia="fr-FR"/>
              </w:rPr>
            </w:pPr>
            <w:r w:rsidRPr="002A17E3">
              <w:rPr>
                <w:rFonts w:ascii="Arial" w:eastAsia="Times New Roman" w:hAnsi="Arial" w:cs="Arial"/>
                <w:lang w:eastAsia="fr-FR"/>
              </w:rPr>
              <w:t>D</w:t>
            </w:r>
            <w:r w:rsidR="00C77241" w:rsidRPr="002A17E3">
              <w:rPr>
                <w:rFonts w:ascii="Arial" w:eastAsia="Times New Roman" w:hAnsi="Arial" w:cs="Arial"/>
                <w:lang w:eastAsia="fr-FR"/>
              </w:rPr>
              <w:t>DLP, SE, Maire, Elus locaux</w:t>
            </w:r>
          </w:p>
        </w:tc>
        <w:tc>
          <w:tcPr>
            <w:tcW w:w="1276" w:type="dxa"/>
            <w:vMerge/>
          </w:tcPr>
          <w:p w14:paraId="0B4BBB83" w14:textId="77777777" w:rsidR="00C77241" w:rsidRPr="002A17E3" w:rsidRDefault="00C77241" w:rsidP="00854BDD">
            <w:pPr>
              <w:rPr>
                <w:rFonts w:ascii="Arial" w:eastAsia="Times New Roman" w:hAnsi="Arial" w:cs="Arial"/>
                <w:lang w:eastAsia="fr-FR"/>
              </w:rPr>
            </w:pPr>
          </w:p>
        </w:tc>
      </w:tr>
    </w:tbl>
    <w:p w14:paraId="0DAF2056" w14:textId="77777777" w:rsidR="00256F8C" w:rsidRDefault="00256F8C" w:rsidP="00854BDD">
      <w:pPr>
        <w:spacing w:after="0" w:line="240" w:lineRule="auto"/>
        <w:rPr>
          <w:rFonts w:ascii="Times New Roman" w:eastAsia="Times New Roman" w:hAnsi="Times New Roman" w:cs="Times New Roman"/>
          <w:sz w:val="20"/>
          <w:szCs w:val="20"/>
          <w:lang w:eastAsia="fr-FR"/>
        </w:rPr>
      </w:pPr>
      <w:r w:rsidRPr="00854BDD">
        <w:rPr>
          <w:rFonts w:ascii="Arial" w:eastAsia="Times New Roman" w:hAnsi="Arial" w:cs="Arial"/>
          <w:i/>
          <w:iCs/>
          <w:sz w:val="20"/>
          <w:szCs w:val="20"/>
          <w:lang w:eastAsia="fr-FR"/>
        </w:rPr>
        <w:t>Source : Plan d'action stratégique PSMR Bassila, 2024–2026</w:t>
      </w:r>
      <w:r w:rsidR="008B2CE5" w:rsidRPr="00854BDD">
        <w:rPr>
          <w:rFonts w:ascii="Arial" w:eastAsia="Times New Roman" w:hAnsi="Arial" w:cs="Arial"/>
          <w:i/>
          <w:iCs/>
          <w:sz w:val="20"/>
          <w:szCs w:val="20"/>
          <w:lang w:eastAsia="fr-FR"/>
        </w:rPr>
        <w:t xml:space="preserve"> ; </w:t>
      </w:r>
      <w:r w:rsidR="008B2CE5" w:rsidRPr="00854BDD">
        <w:rPr>
          <w:rFonts w:ascii="Times New Roman" w:eastAsia="Times New Roman" w:hAnsi="Times New Roman" w:cs="Times New Roman"/>
          <w:sz w:val="20"/>
          <w:szCs w:val="20"/>
          <w:lang w:eastAsia="fr-FR"/>
        </w:rPr>
        <w:t>pages 37 à 44.</w:t>
      </w:r>
    </w:p>
    <w:p w14:paraId="28944A06"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03D38B91"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747D9B69"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0C0ACEEA"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349BE7C7"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4C35F757"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429245D8" w14:textId="77777777" w:rsidR="00476612" w:rsidRDefault="00476612" w:rsidP="00854BDD">
      <w:pPr>
        <w:spacing w:after="0" w:line="240" w:lineRule="auto"/>
        <w:rPr>
          <w:rFonts w:ascii="Times New Roman" w:eastAsia="Times New Roman" w:hAnsi="Times New Roman" w:cs="Times New Roman"/>
          <w:sz w:val="20"/>
          <w:szCs w:val="20"/>
          <w:lang w:eastAsia="fr-FR"/>
        </w:rPr>
      </w:pPr>
    </w:p>
    <w:p w14:paraId="40149CE7" w14:textId="77777777" w:rsidR="00854BDD" w:rsidRPr="002A17E3" w:rsidRDefault="00854BDD" w:rsidP="00854BDD">
      <w:pPr>
        <w:spacing w:after="0" w:line="240" w:lineRule="auto"/>
        <w:rPr>
          <w:rFonts w:ascii="Arial" w:eastAsia="Times New Roman" w:hAnsi="Arial" w:cs="Arial"/>
          <w:sz w:val="24"/>
          <w:szCs w:val="24"/>
          <w:lang w:eastAsia="fr-FR"/>
        </w:rPr>
      </w:pPr>
    </w:p>
    <w:p w14:paraId="1278379F" w14:textId="77777777" w:rsidR="00256F8C" w:rsidRPr="002A17E3" w:rsidRDefault="00E17641" w:rsidP="00854BDD">
      <w:pPr>
        <w:pStyle w:val="Paragraphedeliste"/>
        <w:numPr>
          <w:ilvl w:val="2"/>
          <w:numId w:val="11"/>
        </w:numPr>
        <w:spacing w:after="0" w:line="360" w:lineRule="auto"/>
        <w:ind w:left="851"/>
        <w:outlineLvl w:val="2"/>
        <w:rPr>
          <w:rFonts w:ascii="Arial" w:eastAsia="Times New Roman" w:hAnsi="Arial" w:cs="Arial"/>
          <w:b/>
          <w:bCs/>
          <w:sz w:val="24"/>
          <w:szCs w:val="24"/>
          <w:lang w:eastAsia="fr-FR"/>
        </w:rPr>
      </w:pPr>
      <w:r w:rsidRPr="002A17E3">
        <w:rPr>
          <w:rFonts w:ascii="Arial" w:eastAsia="Times New Roman" w:hAnsi="Arial" w:cs="Arial"/>
          <w:b/>
          <w:bCs/>
          <w:sz w:val="24"/>
          <w:szCs w:val="24"/>
          <w:lang w:eastAsia="fr-FR"/>
        </w:rPr>
        <w:lastRenderedPageBreak/>
        <w:t>Jeux d’acteurs et Mise en Œuvre</w:t>
      </w:r>
    </w:p>
    <w:tbl>
      <w:tblPr>
        <w:tblStyle w:val="Grilledutableau"/>
        <w:tblW w:w="10348" w:type="dxa"/>
        <w:tblInd w:w="-572" w:type="dxa"/>
        <w:tblLook w:val="04A0" w:firstRow="1" w:lastRow="0" w:firstColumn="1" w:lastColumn="0" w:noHBand="0" w:noVBand="1"/>
      </w:tblPr>
      <w:tblGrid>
        <w:gridCol w:w="1985"/>
        <w:gridCol w:w="4252"/>
        <w:gridCol w:w="4111"/>
      </w:tblGrid>
      <w:tr w:rsidR="002A17E3" w:rsidRPr="002A17E3" w14:paraId="55071B58" w14:textId="77777777" w:rsidTr="00854BDD">
        <w:trPr>
          <w:tblHeader/>
        </w:trPr>
        <w:tc>
          <w:tcPr>
            <w:tcW w:w="1985" w:type="dxa"/>
            <w:shd w:val="clear" w:color="auto" w:fill="C5E0B3" w:themeFill="accent6" w:themeFillTint="66"/>
            <w:vAlign w:val="center"/>
          </w:tcPr>
          <w:p w14:paraId="28FA80F7" w14:textId="77777777" w:rsidR="001F6279" w:rsidRPr="002A17E3" w:rsidRDefault="001F6279" w:rsidP="00854BDD">
            <w:pPr>
              <w:jc w:val="center"/>
              <w:rPr>
                <w:rFonts w:ascii="Times New Roman" w:eastAsia="Times New Roman" w:hAnsi="Times New Roman" w:cs="Times New Roman"/>
                <w:b/>
                <w:bCs/>
                <w:sz w:val="24"/>
                <w:szCs w:val="24"/>
                <w:lang w:eastAsia="fr-FR"/>
              </w:rPr>
            </w:pPr>
            <w:r w:rsidRPr="002A17E3">
              <w:rPr>
                <w:rFonts w:ascii="Times New Roman" w:eastAsia="Times New Roman" w:hAnsi="Times New Roman" w:cs="Times New Roman"/>
                <w:b/>
                <w:bCs/>
                <w:sz w:val="24"/>
                <w:szCs w:val="24"/>
                <w:lang w:eastAsia="fr-FR"/>
              </w:rPr>
              <w:t>Acteurs clés</w:t>
            </w:r>
          </w:p>
        </w:tc>
        <w:tc>
          <w:tcPr>
            <w:tcW w:w="4252" w:type="dxa"/>
            <w:shd w:val="clear" w:color="auto" w:fill="C5E0B3" w:themeFill="accent6" w:themeFillTint="66"/>
            <w:vAlign w:val="center"/>
          </w:tcPr>
          <w:p w14:paraId="2D325208" w14:textId="77777777" w:rsidR="001F6279" w:rsidRPr="002A17E3" w:rsidRDefault="001F6279" w:rsidP="00854BDD">
            <w:pPr>
              <w:jc w:val="center"/>
              <w:rPr>
                <w:rFonts w:ascii="Times New Roman" w:eastAsia="Times New Roman" w:hAnsi="Times New Roman" w:cs="Times New Roman"/>
                <w:b/>
                <w:bCs/>
                <w:sz w:val="24"/>
                <w:szCs w:val="24"/>
                <w:lang w:eastAsia="fr-FR"/>
              </w:rPr>
            </w:pPr>
            <w:r w:rsidRPr="002A17E3">
              <w:rPr>
                <w:rFonts w:ascii="Times New Roman" w:eastAsia="Times New Roman" w:hAnsi="Times New Roman" w:cs="Times New Roman"/>
                <w:b/>
                <w:bCs/>
                <w:sz w:val="24"/>
                <w:szCs w:val="24"/>
                <w:lang w:eastAsia="fr-FR"/>
              </w:rPr>
              <w:t>Rôles et responsabilités</w:t>
            </w:r>
          </w:p>
        </w:tc>
        <w:tc>
          <w:tcPr>
            <w:tcW w:w="4111" w:type="dxa"/>
            <w:shd w:val="clear" w:color="auto" w:fill="C5E0B3" w:themeFill="accent6" w:themeFillTint="66"/>
            <w:vAlign w:val="center"/>
          </w:tcPr>
          <w:p w14:paraId="7E81CFA0" w14:textId="77777777" w:rsidR="001F6279" w:rsidRPr="002A17E3" w:rsidRDefault="001F6279" w:rsidP="00854BDD">
            <w:pPr>
              <w:jc w:val="center"/>
              <w:rPr>
                <w:rFonts w:ascii="Times New Roman" w:eastAsia="Times New Roman" w:hAnsi="Times New Roman" w:cs="Times New Roman"/>
                <w:b/>
                <w:bCs/>
                <w:sz w:val="24"/>
                <w:szCs w:val="24"/>
                <w:lang w:eastAsia="fr-FR"/>
              </w:rPr>
            </w:pPr>
            <w:r w:rsidRPr="002A17E3">
              <w:rPr>
                <w:rFonts w:ascii="Times New Roman" w:eastAsia="Times New Roman" w:hAnsi="Times New Roman" w:cs="Times New Roman"/>
                <w:b/>
                <w:bCs/>
                <w:sz w:val="24"/>
                <w:szCs w:val="24"/>
                <w:lang w:eastAsia="fr-FR"/>
              </w:rPr>
              <w:t>Mode d’intervention / Coordination</w:t>
            </w:r>
          </w:p>
        </w:tc>
      </w:tr>
      <w:tr w:rsidR="002A17E3" w:rsidRPr="002A17E3" w14:paraId="4832C41C" w14:textId="77777777" w:rsidTr="001F6279">
        <w:tc>
          <w:tcPr>
            <w:tcW w:w="1985" w:type="dxa"/>
            <w:vAlign w:val="center"/>
          </w:tcPr>
          <w:p w14:paraId="0CB0E04E"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b/>
                <w:bCs/>
                <w:szCs w:val="24"/>
                <w:lang w:eastAsia="fr-FR"/>
              </w:rPr>
              <w:t>Mairie (SE, Maire, CA, TC)</w:t>
            </w:r>
          </w:p>
        </w:tc>
        <w:tc>
          <w:tcPr>
            <w:tcW w:w="4252" w:type="dxa"/>
            <w:vAlign w:val="center"/>
          </w:tcPr>
          <w:p w14:paraId="7899C1EF"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Coordination générale du PSMR • Suivi de la mise en œuvre </w:t>
            </w:r>
          </w:p>
          <w:p w14:paraId="3DB1F778"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Appui aux services techniques</w:t>
            </w:r>
          </w:p>
        </w:tc>
        <w:tc>
          <w:tcPr>
            <w:tcW w:w="4111" w:type="dxa"/>
            <w:vAlign w:val="center"/>
          </w:tcPr>
          <w:p w14:paraId="6F6F83FE"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Comité de pilotage </w:t>
            </w:r>
          </w:p>
          <w:p w14:paraId="24279977"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Réunions trimestrielles </w:t>
            </w:r>
          </w:p>
          <w:p w14:paraId="1E373D2E"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Conduite des plans d’action annuels</w:t>
            </w:r>
          </w:p>
        </w:tc>
      </w:tr>
      <w:tr w:rsidR="002A17E3" w:rsidRPr="002A17E3" w14:paraId="271B2E59" w14:textId="77777777" w:rsidTr="001F6279">
        <w:tc>
          <w:tcPr>
            <w:tcW w:w="1985" w:type="dxa"/>
            <w:vAlign w:val="center"/>
          </w:tcPr>
          <w:p w14:paraId="5E9A3B10"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b/>
                <w:bCs/>
                <w:szCs w:val="24"/>
                <w:lang w:eastAsia="fr-FR"/>
              </w:rPr>
              <w:t>RAAF, CIPE, CSAEM, SSRM</w:t>
            </w:r>
          </w:p>
        </w:tc>
        <w:tc>
          <w:tcPr>
            <w:tcW w:w="4252" w:type="dxa"/>
            <w:vAlign w:val="center"/>
          </w:tcPr>
          <w:p w14:paraId="5DD8CD4C"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Exécution technique des actions de recouvrement </w:t>
            </w:r>
          </w:p>
          <w:p w14:paraId="6148B972"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Gestion des bases de données fiscales</w:t>
            </w:r>
          </w:p>
        </w:tc>
        <w:tc>
          <w:tcPr>
            <w:tcW w:w="4111" w:type="dxa"/>
            <w:vAlign w:val="center"/>
          </w:tcPr>
          <w:p w14:paraId="3DFF2647"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Application du TAR </w:t>
            </w:r>
          </w:p>
          <w:p w14:paraId="006C3FCC"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Rapports de performance</w:t>
            </w:r>
          </w:p>
          <w:p w14:paraId="53D82BF5"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Partage de données et contrôle croisé</w:t>
            </w:r>
          </w:p>
        </w:tc>
      </w:tr>
      <w:tr w:rsidR="002A17E3" w:rsidRPr="002A17E3" w14:paraId="2C686780" w14:textId="77777777" w:rsidTr="001F6279">
        <w:tc>
          <w:tcPr>
            <w:tcW w:w="1985" w:type="dxa"/>
            <w:vAlign w:val="center"/>
          </w:tcPr>
          <w:p w14:paraId="58CDD131"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b/>
                <w:bCs/>
                <w:szCs w:val="24"/>
                <w:lang w:eastAsia="fr-FR"/>
              </w:rPr>
              <w:t>Conseil communal &amp; Elus locaux</w:t>
            </w:r>
          </w:p>
        </w:tc>
        <w:tc>
          <w:tcPr>
            <w:tcW w:w="4252" w:type="dxa"/>
            <w:vAlign w:val="center"/>
          </w:tcPr>
          <w:p w14:paraId="6ADF1BDD"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Appui à la mobilisation des citoyens </w:t>
            </w:r>
          </w:p>
          <w:p w14:paraId="0C3CF00A"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Sensibilisation et légitimation des réformes</w:t>
            </w:r>
          </w:p>
        </w:tc>
        <w:tc>
          <w:tcPr>
            <w:tcW w:w="4111" w:type="dxa"/>
            <w:vAlign w:val="center"/>
          </w:tcPr>
          <w:p w14:paraId="18D161C3"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Charte de mobilisation </w:t>
            </w:r>
          </w:p>
          <w:p w14:paraId="33A03D2C"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Participation aux campagnes </w:t>
            </w:r>
          </w:p>
          <w:p w14:paraId="255797D4"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Suivi citoyen</w:t>
            </w:r>
          </w:p>
        </w:tc>
      </w:tr>
      <w:tr w:rsidR="002A17E3" w:rsidRPr="002A17E3" w14:paraId="69E89369" w14:textId="77777777" w:rsidTr="001F6279">
        <w:tc>
          <w:tcPr>
            <w:tcW w:w="1985" w:type="dxa"/>
            <w:vAlign w:val="center"/>
          </w:tcPr>
          <w:p w14:paraId="3C5757EA"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b/>
                <w:bCs/>
                <w:szCs w:val="24"/>
                <w:lang w:eastAsia="fr-FR"/>
              </w:rPr>
              <w:t>Partenaires techniques &amp; PTF</w:t>
            </w:r>
          </w:p>
        </w:tc>
        <w:tc>
          <w:tcPr>
            <w:tcW w:w="4252" w:type="dxa"/>
            <w:vAlign w:val="center"/>
          </w:tcPr>
          <w:p w14:paraId="7DD4919B"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Appui financier et technique </w:t>
            </w:r>
          </w:p>
          <w:p w14:paraId="5EE2F333"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Renforcement de capacités </w:t>
            </w:r>
          </w:p>
          <w:p w14:paraId="4398CA29"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Suivi-évaluation</w:t>
            </w:r>
          </w:p>
        </w:tc>
        <w:tc>
          <w:tcPr>
            <w:tcW w:w="4111" w:type="dxa"/>
            <w:vAlign w:val="center"/>
          </w:tcPr>
          <w:p w14:paraId="5790708B"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Protocole d’accord </w:t>
            </w:r>
          </w:p>
          <w:p w14:paraId="5B3A62AE"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Co-financement d’équipements (TAR, CADEC, etc.)</w:t>
            </w:r>
          </w:p>
        </w:tc>
      </w:tr>
      <w:tr w:rsidR="002A17E3" w:rsidRPr="002A17E3" w14:paraId="6E8DA79A" w14:textId="77777777" w:rsidTr="001F6279">
        <w:tc>
          <w:tcPr>
            <w:tcW w:w="1985" w:type="dxa"/>
            <w:vAlign w:val="center"/>
          </w:tcPr>
          <w:p w14:paraId="1A6C1A0F"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b/>
                <w:bCs/>
                <w:szCs w:val="24"/>
                <w:lang w:eastAsia="fr-FR"/>
              </w:rPr>
              <w:t>Syndicats transporteurs, usagers, société civile</w:t>
            </w:r>
          </w:p>
        </w:tc>
        <w:tc>
          <w:tcPr>
            <w:tcW w:w="4252" w:type="dxa"/>
            <w:vAlign w:val="center"/>
          </w:tcPr>
          <w:p w14:paraId="40306F0A"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xml:space="preserve">• Collaboration au recouvrement (taxis-motos, marchés, carrières, etc.) </w:t>
            </w:r>
          </w:p>
          <w:p w14:paraId="1D20B850"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Contrôle citoyen</w:t>
            </w:r>
          </w:p>
        </w:tc>
        <w:tc>
          <w:tcPr>
            <w:tcW w:w="4111" w:type="dxa"/>
            <w:vAlign w:val="center"/>
          </w:tcPr>
          <w:p w14:paraId="0B4B9B33" w14:textId="77777777" w:rsidR="001F6279" w:rsidRPr="002A17E3" w:rsidRDefault="001F6279" w:rsidP="00854BDD">
            <w:pPr>
              <w:rPr>
                <w:rFonts w:ascii="Arial" w:eastAsia="Times New Roman" w:hAnsi="Arial" w:cs="Arial"/>
                <w:szCs w:val="24"/>
                <w:lang w:eastAsia="fr-FR"/>
              </w:rPr>
            </w:pPr>
            <w:r w:rsidRPr="002A17E3">
              <w:rPr>
                <w:rFonts w:ascii="Arial" w:eastAsia="Times New Roman" w:hAnsi="Arial" w:cs="Arial"/>
                <w:szCs w:val="24"/>
                <w:lang w:eastAsia="fr-FR"/>
              </w:rPr>
              <w:t>• Concertations sectorielles • Implication dans les cadres de dialogue</w:t>
            </w:r>
          </w:p>
        </w:tc>
      </w:tr>
    </w:tbl>
    <w:p w14:paraId="4B63A200" w14:textId="77777777" w:rsidR="00256F8C" w:rsidRPr="00854BDD" w:rsidRDefault="00256F8C" w:rsidP="00854BDD">
      <w:pPr>
        <w:spacing w:after="0" w:line="276" w:lineRule="auto"/>
        <w:jc w:val="both"/>
        <w:rPr>
          <w:rFonts w:ascii="Arial" w:eastAsia="Times New Roman" w:hAnsi="Arial" w:cs="Arial"/>
          <w:sz w:val="20"/>
          <w:szCs w:val="20"/>
          <w:lang w:eastAsia="fr-FR"/>
        </w:rPr>
      </w:pPr>
      <w:r w:rsidRPr="00854BDD">
        <w:rPr>
          <w:rFonts w:ascii="Arial" w:eastAsia="Times New Roman" w:hAnsi="Arial" w:cs="Arial"/>
          <w:b/>
          <w:bCs/>
          <w:sz w:val="20"/>
          <w:szCs w:val="20"/>
          <w:lang w:eastAsia="fr-FR"/>
        </w:rPr>
        <w:t>Schéma de coordination :</w:t>
      </w:r>
      <w:r w:rsidRPr="00854BDD">
        <w:rPr>
          <w:rFonts w:ascii="Arial" w:eastAsia="Times New Roman" w:hAnsi="Arial" w:cs="Arial"/>
          <w:sz w:val="20"/>
          <w:szCs w:val="20"/>
          <w:lang w:eastAsia="fr-FR"/>
        </w:rPr>
        <w:t xml:space="preserve"> Comité stratégique, réunions semestrielles, comité technique SSRM/CIPE.</w:t>
      </w:r>
    </w:p>
    <w:p w14:paraId="484AB8EF" w14:textId="77777777" w:rsidR="00256F8C" w:rsidRPr="00854BDD" w:rsidRDefault="00256F8C" w:rsidP="00854BDD">
      <w:pPr>
        <w:spacing w:after="0" w:line="276" w:lineRule="auto"/>
        <w:jc w:val="both"/>
        <w:rPr>
          <w:rFonts w:ascii="Arial" w:eastAsia="Times New Roman" w:hAnsi="Arial" w:cs="Arial"/>
          <w:sz w:val="20"/>
          <w:szCs w:val="20"/>
          <w:lang w:eastAsia="fr-FR"/>
        </w:rPr>
      </w:pPr>
      <w:r w:rsidRPr="00854BDD">
        <w:rPr>
          <w:rFonts w:ascii="Arial" w:eastAsia="Times New Roman" w:hAnsi="Arial" w:cs="Arial"/>
          <w:i/>
          <w:iCs/>
          <w:sz w:val="20"/>
          <w:szCs w:val="20"/>
          <w:lang w:eastAsia="fr-FR"/>
        </w:rPr>
        <w:t>Source : Mécanisme de mise en œuvre du PSMR Bassila, 2024</w:t>
      </w:r>
      <w:r w:rsidR="008B2CE5" w:rsidRPr="00854BDD">
        <w:rPr>
          <w:rFonts w:ascii="Arial" w:eastAsia="Times New Roman" w:hAnsi="Arial" w:cs="Arial"/>
          <w:i/>
          <w:iCs/>
          <w:sz w:val="20"/>
          <w:szCs w:val="20"/>
          <w:lang w:eastAsia="fr-FR"/>
        </w:rPr>
        <w:t xml:space="preserve"> ; </w:t>
      </w:r>
      <w:r w:rsidR="008B2CE5" w:rsidRPr="00854BDD">
        <w:rPr>
          <w:rFonts w:ascii="Times New Roman" w:eastAsia="Times New Roman" w:hAnsi="Times New Roman" w:cs="Times New Roman"/>
          <w:sz w:val="20"/>
          <w:szCs w:val="20"/>
          <w:lang w:eastAsia="fr-FR"/>
        </w:rPr>
        <w:t>pages 47 à 48.</w:t>
      </w:r>
    </w:p>
    <w:p w14:paraId="79793697" w14:textId="77777777" w:rsidR="00854BDD" w:rsidRDefault="00854BDD" w:rsidP="00854BDD">
      <w:pPr>
        <w:spacing w:after="0" w:line="360" w:lineRule="auto"/>
        <w:outlineLvl w:val="2"/>
        <w:rPr>
          <w:rFonts w:ascii="Arial" w:eastAsia="Times New Roman" w:hAnsi="Arial" w:cs="Arial"/>
          <w:sz w:val="24"/>
          <w:szCs w:val="24"/>
          <w:lang w:eastAsia="fr-FR"/>
        </w:rPr>
      </w:pPr>
    </w:p>
    <w:p w14:paraId="6A5E9C3F" w14:textId="6D995B37" w:rsidR="00256F8C" w:rsidRPr="00854BDD" w:rsidRDefault="00256F8C" w:rsidP="00854BDD">
      <w:pPr>
        <w:pStyle w:val="Paragraphedeliste"/>
        <w:numPr>
          <w:ilvl w:val="2"/>
          <w:numId w:val="11"/>
        </w:numPr>
        <w:spacing w:after="0" w:line="360" w:lineRule="auto"/>
        <w:ind w:left="-142"/>
        <w:outlineLvl w:val="2"/>
        <w:rPr>
          <w:rFonts w:ascii="Arial" w:eastAsia="Times New Roman" w:hAnsi="Arial" w:cs="Arial"/>
          <w:b/>
          <w:bCs/>
          <w:sz w:val="24"/>
          <w:szCs w:val="24"/>
          <w:lang w:eastAsia="fr-FR"/>
        </w:rPr>
      </w:pPr>
      <w:r w:rsidRPr="00854BDD">
        <w:rPr>
          <w:rFonts w:ascii="Arial" w:eastAsia="Times New Roman" w:hAnsi="Arial" w:cs="Arial"/>
          <w:b/>
          <w:bCs/>
          <w:sz w:val="24"/>
          <w:szCs w:val="24"/>
          <w:lang w:eastAsia="fr-FR"/>
        </w:rPr>
        <w:t>INDICATEURS DE PERFORMANCE ET CIBLES</w:t>
      </w:r>
    </w:p>
    <w:tbl>
      <w:tblPr>
        <w:tblStyle w:val="Grilledutableau"/>
        <w:tblW w:w="10348" w:type="dxa"/>
        <w:tblInd w:w="-572" w:type="dxa"/>
        <w:tblLook w:val="04A0" w:firstRow="1" w:lastRow="0" w:firstColumn="1" w:lastColumn="0" w:noHBand="0" w:noVBand="1"/>
      </w:tblPr>
      <w:tblGrid>
        <w:gridCol w:w="3969"/>
        <w:gridCol w:w="1843"/>
        <w:gridCol w:w="1985"/>
        <w:gridCol w:w="2551"/>
      </w:tblGrid>
      <w:tr w:rsidR="002A17E3" w:rsidRPr="00854BDD" w14:paraId="26DB0D2F" w14:textId="77777777" w:rsidTr="005E230B">
        <w:trPr>
          <w:trHeight w:val="571"/>
        </w:trPr>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9D04A9" w14:textId="77777777" w:rsidR="002152A8" w:rsidRPr="00854BDD" w:rsidRDefault="002152A8" w:rsidP="00854BDD">
            <w:pPr>
              <w:jc w:val="center"/>
              <w:rPr>
                <w:rFonts w:ascii="Arial" w:eastAsia="Times New Roman" w:hAnsi="Arial" w:cs="Arial"/>
                <w:b/>
                <w:lang w:eastAsia="fr-FR"/>
              </w:rPr>
            </w:pPr>
            <w:r w:rsidRPr="00854BDD">
              <w:rPr>
                <w:rFonts w:ascii="Arial" w:eastAsia="Times New Roman" w:hAnsi="Arial" w:cs="Arial"/>
                <w:b/>
                <w:lang w:eastAsia="fr-FR"/>
              </w:rPr>
              <w:t>Indicateur</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C8B731" w14:textId="77777777" w:rsidR="002152A8" w:rsidRPr="00854BDD" w:rsidRDefault="002152A8" w:rsidP="00854BDD">
            <w:pPr>
              <w:jc w:val="center"/>
              <w:rPr>
                <w:rFonts w:ascii="Arial" w:eastAsia="Times New Roman" w:hAnsi="Arial" w:cs="Arial"/>
                <w:b/>
                <w:lang w:eastAsia="fr-FR"/>
              </w:rPr>
            </w:pPr>
            <w:r w:rsidRPr="00854BDD">
              <w:rPr>
                <w:rFonts w:ascii="Arial" w:eastAsia="Times New Roman" w:hAnsi="Arial" w:cs="Arial"/>
                <w:b/>
                <w:lang w:eastAsia="fr-FR"/>
              </w:rPr>
              <w:t>Référence 2023</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288694" w14:textId="77777777" w:rsidR="002152A8" w:rsidRPr="00854BDD" w:rsidRDefault="002152A8" w:rsidP="00854BDD">
            <w:pPr>
              <w:jc w:val="center"/>
              <w:rPr>
                <w:rFonts w:ascii="Arial" w:eastAsia="Times New Roman" w:hAnsi="Arial" w:cs="Arial"/>
                <w:b/>
                <w:lang w:eastAsia="fr-FR"/>
              </w:rPr>
            </w:pPr>
            <w:r w:rsidRPr="00854BDD">
              <w:rPr>
                <w:rFonts w:ascii="Arial" w:eastAsia="Times New Roman" w:hAnsi="Arial" w:cs="Arial"/>
                <w:b/>
                <w:lang w:eastAsia="fr-FR"/>
              </w:rPr>
              <w:t>Cible 2026</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BFA2F2" w14:textId="77777777" w:rsidR="002152A8" w:rsidRPr="00854BDD" w:rsidRDefault="002152A8" w:rsidP="00854BDD">
            <w:pPr>
              <w:jc w:val="center"/>
              <w:rPr>
                <w:rFonts w:ascii="Arial" w:eastAsia="Times New Roman" w:hAnsi="Arial" w:cs="Arial"/>
                <w:b/>
                <w:lang w:eastAsia="fr-FR"/>
              </w:rPr>
            </w:pPr>
            <w:r w:rsidRPr="00854BDD">
              <w:rPr>
                <w:rFonts w:ascii="Arial" w:eastAsia="Times New Roman" w:hAnsi="Arial" w:cs="Arial"/>
                <w:b/>
                <w:lang w:eastAsia="fr-FR"/>
              </w:rPr>
              <w:t>Fréquence</w:t>
            </w:r>
          </w:p>
        </w:tc>
      </w:tr>
      <w:tr w:rsidR="002A17E3" w:rsidRPr="00854BDD" w14:paraId="6C71CDEC" w14:textId="77777777" w:rsidTr="00854BDD">
        <w:trPr>
          <w:trHeight w:val="297"/>
        </w:trPr>
        <w:tc>
          <w:tcPr>
            <w:tcW w:w="3969" w:type="dxa"/>
            <w:tcBorders>
              <w:top w:val="single" w:sz="4" w:space="0" w:color="auto"/>
              <w:left w:val="single" w:sz="4" w:space="0" w:color="auto"/>
              <w:bottom w:val="single" w:sz="4" w:space="0" w:color="auto"/>
              <w:right w:val="single" w:sz="4" w:space="0" w:color="auto"/>
            </w:tcBorders>
            <w:vAlign w:val="center"/>
          </w:tcPr>
          <w:p w14:paraId="3C9593CC"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Taux de mobilisation RF</w:t>
            </w:r>
          </w:p>
        </w:tc>
        <w:tc>
          <w:tcPr>
            <w:tcW w:w="1843" w:type="dxa"/>
            <w:tcBorders>
              <w:top w:val="single" w:sz="4" w:space="0" w:color="auto"/>
              <w:left w:val="single" w:sz="4" w:space="0" w:color="auto"/>
              <w:bottom w:val="single" w:sz="4" w:space="0" w:color="auto"/>
              <w:right w:val="single" w:sz="4" w:space="0" w:color="auto"/>
            </w:tcBorders>
            <w:vAlign w:val="center"/>
          </w:tcPr>
          <w:p w14:paraId="5153DD23"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31</w:t>
            </w:r>
            <w:r w:rsidR="00AB4677" w:rsidRPr="00854BDD">
              <w:rPr>
                <w:rFonts w:ascii="Arial" w:eastAsia="Times New Roman" w:hAnsi="Arial" w:cs="Arial"/>
                <w:lang w:eastAsia="fr-FR"/>
              </w:rPr>
              <w:t>,20</w:t>
            </w:r>
            <w:r w:rsidRPr="00854BDD">
              <w:rPr>
                <w:rFonts w:ascii="Arial" w:eastAsia="Times New Roman" w:hAnsi="Arial" w:cs="Arial"/>
                <w:lang w:eastAsia="fr-FR"/>
              </w:rPr>
              <w:t>%</w:t>
            </w:r>
          </w:p>
        </w:tc>
        <w:tc>
          <w:tcPr>
            <w:tcW w:w="1985" w:type="dxa"/>
            <w:tcBorders>
              <w:top w:val="single" w:sz="4" w:space="0" w:color="auto"/>
              <w:left w:val="single" w:sz="4" w:space="0" w:color="auto"/>
              <w:bottom w:val="single" w:sz="4" w:space="0" w:color="auto"/>
              <w:right w:val="single" w:sz="4" w:space="0" w:color="auto"/>
            </w:tcBorders>
            <w:vAlign w:val="center"/>
          </w:tcPr>
          <w:p w14:paraId="1957745D"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75%</w:t>
            </w:r>
          </w:p>
        </w:tc>
        <w:tc>
          <w:tcPr>
            <w:tcW w:w="2551" w:type="dxa"/>
            <w:tcBorders>
              <w:top w:val="single" w:sz="4" w:space="0" w:color="auto"/>
              <w:left w:val="single" w:sz="4" w:space="0" w:color="auto"/>
              <w:bottom w:val="single" w:sz="4" w:space="0" w:color="auto"/>
              <w:right w:val="single" w:sz="4" w:space="0" w:color="auto"/>
            </w:tcBorders>
            <w:vAlign w:val="center"/>
          </w:tcPr>
          <w:p w14:paraId="4B17D5CC"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Semestrielle</w:t>
            </w:r>
          </w:p>
        </w:tc>
      </w:tr>
      <w:tr w:rsidR="002A17E3" w:rsidRPr="00854BDD" w14:paraId="05E0DBF6" w14:textId="77777777" w:rsidTr="00854BDD">
        <w:trPr>
          <w:trHeight w:val="558"/>
        </w:trPr>
        <w:tc>
          <w:tcPr>
            <w:tcW w:w="3969" w:type="dxa"/>
            <w:tcBorders>
              <w:top w:val="single" w:sz="4" w:space="0" w:color="auto"/>
              <w:left w:val="single" w:sz="4" w:space="0" w:color="auto"/>
              <w:bottom w:val="single" w:sz="4" w:space="0" w:color="auto"/>
              <w:right w:val="single" w:sz="4" w:space="0" w:color="auto"/>
            </w:tcBorders>
            <w:vAlign w:val="center"/>
          </w:tcPr>
          <w:p w14:paraId="64F5B644"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Taux de mobilisation RNF</w:t>
            </w:r>
          </w:p>
        </w:tc>
        <w:tc>
          <w:tcPr>
            <w:tcW w:w="1843" w:type="dxa"/>
            <w:tcBorders>
              <w:top w:val="single" w:sz="4" w:space="0" w:color="auto"/>
              <w:left w:val="single" w:sz="4" w:space="0" w:color="auto"/>
              <w:bottom w:val="single" w:sz="4" w:space="0" w:color="auto"/>
              <w:right w:val="single" w:sz="4" w:space="0" w:color="auto"/>
            </w:tcBorders>
            <w:vAlign w:val="center"/>
          </w:tcPr>
          <w:p w14:paraId="415E3F52"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73</w:t>
            </w:r>
            <w:r w:rsidR="00AB4677" w:rsidRPr="00854BDD">
              <w:rPr>
                <w:rFonts w:ascii="Arial" w:eastAsia="Times New Roman" w:hAnsi="Arial" w:cs="Arial"/>
                <w:lang w:eastAsia="fr-FR"/>
              </w:rPr>
              <w:t>,00</w:t>
            </w:r>
            <w:r w:rsidRPr="00854BDD">
              <w:rPr>
                <w:rFonts w:ascii="Arial" w:eastAsia="Times New Roman" w:hAnsi="Arial" w:cs="Arial"/>
                <w:lang w:eastAsia="fr-FR"/>
              </w:rPr>
              <w:t>%</w:t>
            </w:r>
          </w:p>
        </w:tc>
        <w:tc>
          <w:tcPr>
            <w:tcW w:w="1985" w:type="dxa"/>
            <w:tcBorders>
              <w:top w:val="single" w:sz="4" w:space="0" w:color="auto"/>
              <w:left w:val="single" w:sz="4" w:space="0" w:color="auto"/>
              <w:bottom w:val="single" w:sz="4" w:space="0" w:color="auto"/>
              <w:right w:val="single" w:sz="4" w:space="0" w:color="auto"/>
            </w:tcBorders>
            <w:vAlign w:val="center"/>
          </w:tcPr>
          <w:p w14:paraId="57B006DA"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90%</w:t>
            </w:r>
          </w:p>
        </w:tc>
        <w:tc>
          <w:tcPr>
            <w:tcW w:w="2551" w:type="dxa"/>
            <w:tcBorders>
              <w:top w:val="single" w:sz="4" w:space="0" w:color="auto"/>
              <w:left w:val="single" w:sz="4" w:space="0" w:color="auto"/>
              <w:bottom w:val="single" w:sz="4" w:space="0" w:color="auto"/>
              <w:right w:val="single" w:sz="4" w:space="0" w:color="auto"/>
            </w:tcBorders>
            <w:vAlign w:val="center"/>
          </w:tcPr>
          <w:p w14:paraId="1703BFC6"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Semestrielle</w:t>
            </w:r>
          </w:p>
        </w:tc>
      </w:tr>
      <w:tr w:rsidR="002A17E3" w:rsidRPr="00854BDD" w14:paraId="581B6E62" w14:textId="77777777" w:rsidTr="00854BDD">
        <w:trPr>
          <w:trHeight w:val="410"/>
        </w:trPr>
        <w:tc>
          <w:tcPr>
            <w:tcW w:w="3969" w:type="dxa"/>
            <w:tcBorders>
              <w:top w:val="single" w:sz="4" w:space="0" w:color="auto"/>
              <w:left w:val="single" w:sz="4" w:space="0" w:color="auto"/>
              <w:bottom w:val="single" w:sz="4" w:space="0" w:color="auto"/>
              <w:right w:val="single" w:sz="4" w:space="0" w:color="auto"/>
            </w:tcBorders>
            <w:vAlign w:val="center"/>
          </w:tcPr>
          <w:p w14:paraId="1E63155B"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Taux de couverture TFU</w:t>
            </w:r>
          </w:p>
        </w:tc>
        <w:tc>
          <w:tcPr>
            <w:tcW w:w="1843" w:type="dxa"/>
            <w:tcBorders>
              <w:top w:val="single" w:sz="4" w:space="0" w:color="auto"/>
              <w:left w:val="single" w:sz="4" w:space="0" w:color="auto"/>
              <w:bottom w:val="single" w:sz="4" w:space="0" w:color="auto"/>
              <w:right w:val="single" w:sz="4" w:space="0" w:color="auto"/>
            </w:tcBorders>
            <w:vAlign w:val="center"/>
          </w:tcPr>
          <w:p w14:paraId="5A37053F"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12%</w:t>
            </w:r>
          </w:p>
        </w:tc>
        <w:tc>
          <w:tcPr>
            <w:tcW w:w="1985" w:type="dxa"/>
            <w:tcBorders>
              <w:top w:val="single" w:sz="4" w:space="0" w:color="auto"/>
              <w:left w:val="single" w:sz="4" w:space="0" w:color="auto"/>
              <w:bottom w:val="single" w:sz="4" w:space="0" w:color="auto"/>
              <w:right w:val="single" w:sz="4" w:space="0" w:color="auto"/>
            </w:tcBorders>
            <w:vAlign w:val="center"/>
          </w:tcPr>
          <w:p w14:paraId="0BD11CC7"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60%</w:t>
            </w:r>
          </w:p>
        </w:tc>
        <w:tc>
          <w:tcPr>
            <w:tcW w:w="2551" w:type="dxa"/>
            <w:tcBorders>
              <w:top w:val="single" w:sz="4" w:space="0" w:color="auto"/>
              <w:left w:val="single" w:sz="4" w:space="0" w:color="auto"/>
              <w:bottom w:val="single" w:sz="4" w:space="0" w:color="auto"/>
              <w:right w:val="single" w:sz="4" w:space="0" w:color="auto"/>
            </w:tcBorders>
            <w:vAlign w:val="center"/>
          </w:tcPr>
          <w:p w14:paraId="7049BE6E"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Annuelle</w:t>
            </w:r>
          </w:p>
        </w:tc>
      </w:tr>
      <w:tr w:rsidR="002A17E3" w:rsidRPr="00854BDD" w14:paraId="222225F5" w14:textId="77777777" w:rsidTr="005E230B">
        <w:tc>
          <w:tcPr>
            <w:tcW w:w="3969" w:type="dxa"/>
            <w:tcBorders>
              <w:top w:val="single" w:sz="4" w:space="0" w:color="auto"/>
              <w:left w:val="single" w:sz="4" w:space="0" w:color="auto"/>
              <w:bottom w:val="single" w:sz="4" w:space="0" w:color="auto"/>
              <w:right w:val="single" w:sz="4" w:space="0" w:color="auto"/>
            </w:tcBorders>
            <w:vAlign w:val="center"/>
          </w:tcPr>
          <w:p w14:paraId="2F667926"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Proportion RF/RNF</w:t>
            </w:r>
          </w:p>
        </w:tc>
        <w:tc>
          <w:tcPr>
            <w:tcW w:w="1843" w:type="dxa"/>
            <w:tcBorders>
              <w:top w:val="single" w:sz="4" w:space="0" w:color="auto"/>
              <w:left w:val="single" w:sz="4" w:space="0" w:color="auto"/>
              <w:bottom w:val="single" w:sz="4" w:space="0" w:color="auto"/>
              <w:right w:val="single" w:sz="4" w:space="0" w:color="auto"/>
            </w:tcBorders>
            <w:vAlign w:val="center"/>
          </w:tcPr>
          <w:p w14:paraId="09426E97"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39% / 61%</w:t>
            </w:r>
          </w:p>
        </w:tc>
        <w:tc>
          <w:tcPr>
            <w:tcW w:w="1985" w:type="dxa"/>
            <w:tcBorders>
              <w:top w:val="single" w:sz="4" w:space="0" w:color="auto"/>
              <w:left w:val="single" w:sz="4" w:space="0" w:color="auto"/>
              <w:bottom w:val="single" w:sz="4" w:space="0" w:color="auto"/>
              <w:right w:val="single" w:sz="4" w:space="0" w:color="auto"/>
            </w:tcBorders>
            <w:vAlign w:val="center"/>
          </w:tcPr>
          <w:p w14:paraId="54994AC8"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50% / 50%</w:t>
            </w:r>
          </w:p>
        </w:tc>
        <w:tc>
          <w:tcPr>
            <w:tcW w:w="2551" w:type="dxa"/>
            <w:tcBorders>
              <w:top w:val="single" w:sz="4" w:space="0" w:color="auto"/>
              <w:left w:val="single" w:sz="4" w:space="0" w:color="auto"/>
              <w:bottom w:val="single" w:sz="4" w:space="0" w:color="auto"/>
              <w:right w:val="single" w:sz="4" w:space="0" w:color="auto"/>
            </w:tcBorders>
            <w:vAlign w:val="center"/>
          </w:tcPr>
          <w:p w14:paraId="17D6AFC7"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Annuelle</w:t>
            </w:r>
          </w:p>
        </w:tc>
      </w:tr>
      <w:tr w:rsidR="002A17E3" w:rsidRPr="00854BDD" w14:paraId="22518EEB" w14:textId="77777777" w:rsidTr="00854BDD">
        <w:trPr>
          <w:trHeight w:val="392"/>
        </w:trPr>
        <w:tc>
          <w:tcPr>
            <w:tcW w:w="3969" w:type="dxa"/>
            <w:tcBorders>
              <w:top w:val="single" w:sz="4" w:space="0" w:color="auto"/>
              <w:left w:val="single" w:sz="4" w:space="0" w:color="auto"/>
              <w:bottom w:val="single" w:sz="4" w:space="0" w:color="auto"/>
              <w:right w:val="single" w:sz="4" w:space="0" w:color="auto"/>
            </w:tcBorders>
            <w:vAlign w:val="center"/>
          </w:tcPr>
          <w:p w14:paraId="1316F87B"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Réunions de concertation</w:t>
            </w:r>
          </w:p>
        </w:tc>
        <w:tc>
          <w:tcPr>
            <w:tcW w:w="1843" w:type="dxa"/>
            <w:tcBorders>
              <w:top w:val="single" w:sz="4" w:space="0" w:color="auto"/>
              <w:left w:val="single" w:sz="4" w:space="0" w:color="auto"/>
              <w:bottom w:val="single" w:sz="4" w:space="0" w:color="auto"/>
              <w:right w:val="single" w:sz="4" w:space="0" w:color="auto"/>
            </w:tcBorders>
            <w:vAlign w:val="center"/>
          </w:tcPr>
          <w:p w14:paraId="73473D4E"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1/an</w:t>
            </w:r>
          </w:p>
        </w:tc>
        <w:tc>
          <w:tcPr>
            <w:tcW w:w="1985" w:type="dxa"/>
            <w:tcBorders>
              <w:top w:val="single" w:sz="4" w:space="0" w:color="auto"/>
              <w:left w:val="single" w:sz="4" w:space="0" w:color="auto"/>
              <w:bottom w:val="single" w:sz="4" w:space="0" w:color="auto"/>
              <w:right w:val="single" w:sz="4" w:space="0" w:color="auto"/>
            </w:tcBorders>
            <w:vAlign w:val="center"/>
          </w:tcPr>
          <w:p w14:paraId="0F07C323" w14:textId="77777777" w:rsidR="002152A8" w:rsidRPr="00854BDD" w:rsidRDefault="002152A8" w:rsidP="00854BDD">
            <w:pPr>
              <w:spacing w:line="276" w:lineRule="auto"/>
              <w:jc w:val="center"/>
              <w:rPr>
                <w:rFonts w:ascii="Arial" w:eastAsia="Times New Roman" w:hAnsi="Arial" w:cs="Arial"/>
                <w:lang w:eastAsia="fr-FR"/>
              </w:rPr>
            </w:pPr>
            <w:r w:rsidRPr="00854BDD">
              <w:rPr>
                <w:rFonts w:ascii="Arial" w:eastAsia="Times New Roman" w:hAnsi="Arial" w:cs="Arial"/>
                <w:lang w:eastAsia="fr-FR"/>
              </w:rPr>
              <w:t>≥ 4/an</w:t>
            </w:r>
          </w:p>
        </w:tc>
        <w:tc>
          <w:tcPr>
            <w:tcW w:w="2551" w:type="dxa"/>
            <w:tcBorders>
              <w:top w:val="single" w:sz="4" w:space="0" w:color="auto"/>
              <w:left w:val="single" w:sz="4" w:space="0" w:color="auto"/>
              <w:bottom w:val="single" w:sz="4" w:space="0" w:color="auto"/>
              <w:right w:val="single" w:sz="4" w:space="0" w:color="auto"/>
            </w:tcBorders>
            <w:vAlign w:val="center"/>
          </w:tcPr>
          <w:p w14:paraId="37D5DB79" w14:textId="77777777" w:rsidR="002152A8" w:rsidRPr="00854BDD" w:rsidRDefault="002152A8" w:rsidP="00854BDD">
            <w:pPr>
              <w:spacing w:line="276" w:lineRule="auto"/>
              <w:rPr>
                <w:rFonts w:ascii="Arial" w:eastAsia="Times New Roman" w:hAnsi="Arial" w:cs="Arial"/>
                <w:lang w:eastAsia="fr-FR"/>
              </w:rPr>
            </w:pPr>
            <w:r w:rsidRPr="00854BDD">
              <w:rPr>
                <w:rFonts w:ascii="Arial" w:eastAsia="Times New Roman" w:hAnsi="Arial" w:cs="Arial"/>
                <w:lang w:eastAsia="fr-FR"/>
              </w:rPr>
              <w:t>Trimestrielle</w:t>
            </w:r>
          </w:p>
        </w:tc>
      </w:tr>
    </w:tbl>
    <w:p w14:paraId="2DE49EAB" w14:textId="77777777" w:rsidR="00256F8C" w:rsidRPr="00854BDD" w:rsidRDefault="00256F8C" w:rsidP="00854BDD">
      <w:pPr>
        <w:spacing w:after="0" w:line="360" w:lineRule="auto"/>
        <w:rPr>
          <w:rFonts w:ascii="Arial" w:eastAsia="Times New Roman" w:hAnsi="Arial" w:cs="Arial"/>
          <w:sz w:val="20"/>
          <w:szCs w:val="20"/>
          <w:lang w:eastAsia="fr-FR"/>
        </w:rPr>
      </w:pPr>
      <w:r w:rsidRPr="00854BDD">
        <w:rPr>
          <w:rFonts w:ascii="Arial" w:eastAsia="Times New Roman" w:hAnsi="Arial" w:cs="Arial"/>
          <w:i/>
          <w:iCs/>
          <w:sz w:val="20"/>
          <w:szCs w:val="20"/>
          <w:lang w:eastAsia="fr-FR"/>
        </w:rPr>
        <w:t>Source : Cadre logique PSMR Bassila, 2024–2026</w:t>
      </w:r>
      <w:r w:rsidR="008B2CE5" w:rsidRPr="00854BDD">
        <w:rPr>
          <w:rFonts w:ascii="Arial" w:eastAsia="Times New Roman" w:hAnsi="Arial" w:cs="Arial"/>
          <w:i/>
          <w:iCs/>
          <w:sz w:val="20"/>
          <w:szCs w:val="20"/>
          <w:lang w:eastAsia="fr-FR"/>
        </w:rPr>
        <w:t xml:space="preserve"> ; </w:t>
      </w:r>
      <w:r w:rsidR="008B2CE5" w:rsidRPr="00854BDD">
        <w:rPr>
          <w:rFonts w:ascii="Times New Roman" w:eastAsia="Times New Roman" w:hAnsi="Times New Roman" w:cs="Times New Roman"/>
          <w:sz w:val="20"/>
          <w:szCs w:val="20"/>
          <w:lang w:eastAsia="fr-FR"/>
        </w:rPr>
        <w:t>pages 44 à 46.</w:t>
      </w:r>
    </w:p>
    <w:p w14:paraId="13A6DE3C" w14:textId="77777777" w:rsidR="00476612" w:rsidRDefault="00476612" w:rsidP="00476612">
      <w:pPr>
        <w:pStyle w:val="Pieddepage"/>
        <w:jc w:val="center"/>
        <w:rPr>
          <w:b/>
          <w:bCs/>
          <w:i/>
          <w:iCs/>
          <w:sz w:val="20"/>
          <w:szCs w:val="20"/>
        </w:rPr>
      </w:pPr>
      <w:r>
        <w:rPr>
          <w:b/>
          <w:bCs/>
          <w:i/>
          <w:iCs/>
          <w:sz w:val="20"/>
          <w:szCs w:val="20"/>
        </w:rPr>
        <w:t xml:space="preserve">    </w:t>
      </w:r>
    </w:p>
    <w:p w14:paraId="6B0F36C6" w14:textId="77777777" w:rsidR="00476612" w:rsidRDefault="00476612" w:rsidP="00476612">
      <w:pPr>
        <w:pStyle w:val="Pieddepage"/>
        <w:jc w:val="center"/>
        <w:rPr>
          <w:b/>
          <w:bCs/>
          <w:i/>
          <w:iCs/>
          <w:sz w:val="20"/>
          <w:szCs w:val="20"/>
        </w:rPr>
      </w:pPr>
    </w:p>
    <w:p w14:paraId="6020EC2B" w14:textId="77777777" w:rsidR="00476612" w:rsidRDefault="00476612" w:rsidP="00476612">
      <w:pPr>
        <w:pStyle w:val="Pieddepage"/>
        <w:jc w:val="center"/>
        <w:rPr>
          <w:b/>
          <w:bCs/>
          <w:i/>
          <w:iCs/>
          <w:sz w:val="20"/>
          <w:szCs w:val="20"/>
        </w:rPr>
      </w:pPr>
    </w:p>
    <w:p w14:paraId="2F00F5DF" w14:textId="77777777" w:rsidR="00476612" w:rsidRDefault="00476612" w:rsidP="00476612">
      <w:pPr>
        <w:pStyle w:val="Pieddepage"/>
        <w:jc w:val="center"/>
        <w:rPr>
          <w:b/>
          <w:bCs/>
          <w:i/>
          <w:iCs/>
          <w:sz w:val="20"/>
          <w:szCs w:val="20"/>
        </w:rPr>
      </w:pPr>
    </w:p>
    <w:p w14:paraId="3D4E950E" w14:textId="77777777" w:rsidR="00476612" w:rsidRDefault="00476612" w:rsidP="00476612">
      <w:pPr>
        <w:pStyle w:val="Pieddepage"/>
        <w:jc w:val="center"/>
        <w:rPr>
          <w:b/>
          <w:bCs/>
          <w:i/>
          <w:iCs/>
          <w:sz w:val="20"/>
          <w:szCs w:val="20"/>
        </w:rPr>
      </w:pPr>
    </w:p>
    <w:p w14:paraId="7694FB6B" w14:textId="77777777" w:rsidR="00476612" w:rsidRDefault="00476612" w:rsidP="00476612">
      <w:pPr>
        <w:pStyle w:val="Pieddepage"/>
        <w:jc w:val="center"/>
        <w:rPr>
          <w:b/>
          <w:bCs/>
          <w:i/>
          <w:iCs/>
          <w:sz w:val="20"/>
          <w:szCs w:val="20"/>
        </w:rPr>
      </w:pPr>
    </w:p>
    <w:p w14:paraId="1E0C872D" w14:textId="77777777" w:rsidR="00476612" w:rsidRDefault="00476612" w:rsidP="00476612">
      <w:pPr>
        <w:pStyle w:val="Pieddepage"/>
        <w:jc w:val="center"/>
        <w:rPr>
          <w:b/>
          <w:bCs/>
          <w:i/>
          <w:iCs/>
          <w:sz w:val="20"/>
          <w:szCs w:val="20"/>
        </w:rPr>
      </w:pPr>
    </w:p>
    <w:p w14:paraId="66BF8296" w14:textId="77777777" w:rsidR="00476612" w:rsidRDefault="00476612" w:rsidP="00476612">
      <w:pPr>
        <w:pStyle w:val="Pieddepage"/>
        <w:jc w:val="center"/>
        <w:rPr>
          <w:b/>
          <w:bCs/>
          <w:i/>
          <w:iCs/>
          <w:sz w:val="20"/>
          <w:szCs w:val="20"/>
        </w:rPr>
      </w:pPr>
    </w:p>
    <w:p w14:paraId="4641DC12" w14:textId="77777777" w:rsidR="00476612" w:rsidRDefault="00476612" w:rsidP="00476612">
      <w:pPr>
        <w:pStyle w:val="Pieddepage"/>
        <w:jc w:val="center"/>
        <w:rPr>
          <w:b/>
          <w:bCs/>
          <w:i/>
          <w:iCs/>
          <w:sz w:val="20"/>
          <w:szCs w:val="20"/>
        </w:rPr>
      </w:pPr>
    </w:p>
    <w:p w14:paraId="2DC47ABA" w14:textId="77777777" w:rsidR="00476612" w:rsidRDefault="00476612" w:rsidP="00476612">
      <w:pPr>
        <w:pStyle w:val="Pieddepage"/>
        <w:jc w:val="center"/>
        <w:rPr>
          <w:b/>
          <w:bCs/>
          <w:i/>
          <w:iCs/>
          <w:sz w:val="20"/>
          <w:szCs w:val="20"/>
        </w:rPr>
      </w:pPr>
    </w:p>
    <w:p w14:paraId="0720F36A" w14:textId="77777777" w:rsidR="00476612" w:rsidRDefault="00476612" w:rsidP="00476612">
      <w:pPr>
        <w:pStyle w:val="Pieddepage"/>
        <w:jc w:val="center"/>
        <w:rPr>
          <w:b/>
          <w:bCs/>
          <w:i/>
          <w:iCs/>
          <w:sz w:val="20"/>
          <w:szCs w:val="20"/>
        </w:rPr>
      </w:pPr>
    </w:p>
    <w:p w14:paraId="6EA7824F" w14:textId="77777777" w:rsidR="00476612" w:rsidRDefault="00476612" w:rsidP="00476612">
      <w:pPr>
        <w:pStyle w:val="Pieddepage"/>
        <w:jc w:val="center"/>
        <w:rPr>
          <w:b/>
          <w:bCs/>
          <w:i/>
          <w:iCs/>
          <w:sz w:val="20"/>
          <w:szCs w:val="20"/>
        </w:rPr>
      </w:pPr>
    </w:p>
    <w:p w14:paraId="29874CFC" w14:textId="77777777" w:rsidR="00476612" w:rsidRDefault="00476612" w:rsidP="00476612">
      <w:pPr>
        <w:pStyle w:val="Pieddepage"/>
        <w:jc w:val="center"/>
        <w:rPr>
          <w:b/>
          <w:bCs/>
          <w:i/>
          <w:iCs/>
          <w:sz w:val="20"/>
          <w:szCs w:val="20"/>
        </w:rPr>
      </w:pPr>
    </w:p>
    <w:p w14:paraId="6D0EB2CD" w14:textId="77777777" w:rsidR="00476612" w:rsidRDefault="00476612" w:rsidP="00476612">
      <w:pPr>
        <w:pStyle w:val="Pieddepage"/>
        <w:jc w:val="center"/>
        <w:rPr>
          <w:b/>
          <w:bCs/>
          <w:i/>
          <w:iCs/>
          <w:sz w:val="20"/>
          <w:szCs w:val="20"/>
        </w:rPr>
      </w:pPr>
    </w:p>
    <w:p w14:paraId="5D55772D" w14:textId="372DA48E" w:rsidR="00476612" w:rsidRPr="007F4BC5" w:rsidRDefault="00476612" w:rsidP="00476612">
      <w:pPr>
        <w:pStyle w:val="Pieddepage"/>
        <w:jc w:val="center"/>
        <w:rPr>
          <w:b/>
          <w:bCs/>
          <w:i/>
          <w:iCs/>
          <w:sz w:val="28"/>
          <w:szCs w:val="28"/>
        </w:rPr>
      </w:pPr>
      <w:r>
        <w:rPr>
          <w:b/>
          <w:bCs/>
          <w:i/>
          <w:iCs/>
          <w:sz w:val="20"/>
          <w:szCs w:val="20"/>
        </w:rPr>
        <w:t xml:space="preserve">  REALISE </w:t>
      </w:r>
      <w:r w:rsidRPr="007F4BC5">
        <w:rPr>
          <w:b/>
          <w:bCs/>
          <w:i/>
          <w:iCs/>
          <w:sz w:val="20"/>
          <w:szCs w:val="20"/>
        </w:rPr>
        <w:t>AVEC LE SOUTIEN TECHNIQUE ET FINANCIER DE :</w:t>
      </w:r>
    </w:p>
    <w:p w14:paraId="32C9EB17" w14:textId="77777777" w:rsidR="00476612" w:rsidRPr="007F4BC5" w:rsidRDefault="00476612" w:rsidP="00476612">
      <w:pPr>
        <w:keepNext/>
        <w:keepLines/>
        <w:spacing w:before="240" w:after="0"/>
        <w:jc w:val="center"/>
        <w:outlineLvl w:val="0"/>
        <w:rPr>
          <w:rFonts w:ascii="Arial" w:eastAsiaTheme="majorEastAsia" w:hAnsi="Arial" w:cs="Arial"/>
          <w:sz w:val="32"/>
          <w:szCs w:val="32"/>
        </w:rPr>
      </w:pPr>
      <w:r w:rsidRPr="007F4BC5">
        <w:rPr>
          <w:noProof/>
          <w:sz w:val="28"/>
          <w:szCs w:val="28"/>
        </w:rPr>
        <w:drawing>
          <wp:anchor distT="0" distB="0" distL="114300" distR="114300" simplePos="0" relativeHeight="251666432" behindDoc="1" locked="0" layoutInCell="0" allowOverlap="1" wp14:anchorId="21C3C0AF" wp14:editId="47830E85">
            <wp:simplePos x="0" y="0"/>
            <wp:positionH relativeFrom="page">
              <wp:posOffset>4046220</wp:posOffset>
            </wp:positionH>
            <wp:positionV relativeFrom="paragraph">
              <wp:posOffset>71755</wp:posOffset>
            </wp:positionV>
            <wp:extent cx="1351915" cy="640080"/>
            <wp:effectExtent l="0" t="0" r="635" b="7620"/>
            <wp:wrapSquare wrapText="bothSides"/>
            <wp:docPr id="289151022" name="Image 289151022" descr="Une image contenant texte, Police, capture d’écra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51022" name="Image 289151022" descr="Une image contenant texte, Police, capture d’écran, symbole&#10;&#10;Le contenu généré par l’IA peut être incorrect."/>
                    <pic:cNvPicPr>
                      <a:picLocks noChangeAspect="1" noChangeArrowheads="1"/>
                    </pic:cNvPicPr>
                  </pic:nvPicPr>
                  <pic:blipFill>
                    <a:blip r:embed="rId6"/>
                    <a:stretch>
                      <a:fillRect/>
                    </a:stretch>
                  </pic:blipFill>
                  <pic:spPr>
                    <a:xfrm>
                      <a:off x="0" y="0"/>
                      <a:ext cx="1351915" cy="640080"/>
                    </a:xfrm>
                    <a:prstGeom prst="rect">
                      <a:avLst/>
                    </a:prstGeom>
                  </pic:spPr>
                </pic:pic>
              </a:graphicData>
            </a:graphic>
            <wp14:sizeRelH relativeFrom="margin">
              <wp14:pctWidth>0</wp14:pctWidth>
            </wp14:sizeRelH>
            <wp14:sizeRelV relativeFrom="margin">
              <wp14:pctHeight>0</wp14:pctHeight>
            </wp14:sizeRelV>
          </wp:anchor>
        </w:drawing>
      </w:r>
      <w:r w:rsidRPr="007F4BC5">
        <w:rPr>
          <w:noProof/>
          <w:sz w:val="28"/>
          <w:szCs w:val="28"/>
        </w:rPr>
        <w:drawing>
          <wp:anchor distT="0" distB="0" distL="114300" distR="114300" simplePos="0" relativeHeight="251667456" behindDoc="0" locked="0" layoutInCell="1" allowOverlap="1" wp14:anchorId="0B7E6799" wp14:editId="09D0D757">
            <wp:simplePos x="0" y="0"/>
            <wp:positionH relativeFrom="column">
              <wp:posOffset>1691005</wp:posOffset>
            </wp:positionH>
            <wp:positionV relativeFrom="paragraph">
              <wp:posOffset>71755</wp:posOffset>
            </wp:positionV>
            <wp:extent cx="768985" cy="777875"/>
            <wp:effectExtent l="0" t="0" r="0" b="3175"/>
            <wp:wrapSquare wrapText="bothSides"/>
            <wp:docPr id="1681732634" name="Image 1681732634" descr="Une image contenant symbole, Graphique, cerc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2634" name="Image 1681732634" descr="Une image contenant symbole, Graphique, cercle, clipar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98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CA0DC" w14:textId="77777777" w:rsidR="00476612" w:rsidRPr="007F4BC5" w:rsidRDefault="00476612" w:rsidP="00476612">
      <w:pPr>
        <w:keepNext/>
        <w:keepLines/>
        <w:spacing w:before="240" w:after="0"/>
        <w:jc w:val="center"/>
        <w:outlineLvl w:val="0"/>
        <w:rPr>
          <w:rFonts w:ascii="Arial" w:eastAsiaTheme="majorEastAsia" w:hAnsi="Arial" w:cs="Arial"/>
          <w:sz w:val="32"/>
          <w:szCs w:val="32"/>
        </w:rPr>
      </w:pPr>
    </w:p>
    <w:p w14:paraId="36A7E308" w14:textId="77777777" w:rsidR="0092304F" w:rsidRPr="002A17E3" w:rsidRDefault="0092304F" w:rsidP="00854BDD">
      <w:pPr>
        <w:spacing w:after="0" w:line="360" w:lineRule="auto"/>
        <w:rPr>
          <w:rFonts w:ascii="Arial" w:hAnsi="Arial" w:cs="Arial"/>
          <w:sz w:val="24"/>
          <w:szCs w:val="24"/>
        </w:rPr>
      </w:pPr>
    </w:p>
    <w:sectPr w:rsidR="0092304F" w:rsidRPr="002A17E3" w:rsidSect="00A03DAF">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5B"/>
    <w:multiLevelType w:val="multilevel"/>
    <w:tmpl w:val="6CB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6D03"/>
    <w:multiLevelType w:val="multilevel"/>
    <w:tmpl w:val="B7E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52C6F"/>
    <w:multiLevelType w:val="multilevel"/>
    <w:tmpl w:val="CA00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77FDF"/>
    <w:multiLevelType w:val="hybridMultilevel"/>
    <w:tmpl w:val="EB5A783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0B276B0"/>
    <w:multiLevelType w:val="multilevel"/>
    <w:tmpl w:val="058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11C5F"/>
    <w:multiLevelType w:val="multilevel"/>
    <w:tmpl w:val="3E6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A7E88"/>
    <w:multiLevelType w:val="multilevel"/>
    <w:tmpl w:val="EB26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7E0B"/>
    <w:multiLevelType w:val="hybridMultilevel"/>
    <w:tmpl w:val="FE8AB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13642"/>
    <w:multiLevelType w:val="hybridMultilevel"/>
    <w:tmpl w:val="B75E3162"/>
    <w:lvl w:ilvl="0" w:tplc="216216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F2422E"/>
    <w:multiLevelType w:val="multilevel"/>
    <w:tmpl w:val="494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063"/>
    <w:multiLevelType w:val="multilevel"/>
    <w:tmpl w:val="C25C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61553"/>
    <w:multiLevelType w:val="hybridMultilevel"/>
    <w:tmpl w:val="AACC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3635C7"/>
    <w:multiLevelType w:val="hybridMultilevel"/>
    <w:tmpl w:val="D074A842"/>
    <w:lvl w:ilvl="0" w:tplc="86B65F22">
      <w:start w:val="1"/>
      <w:numFmt w:val="upperLetter"/>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665D29"/>
    <w:multiLevelType w:val="hybridMultilevel"/>
    <w:tmpl w:val="794601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AA5C00"/>
    <w:multiLevelType w:val="multilevel"/>
    <w:tmpl w:val="665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E5435"/>
    <w:multiLevelType w:val="multilevel"/>
    <w:tmpl w:val="1C7410FA"/>
    <w:lvl w:ilvl="0">
      <w:start w:val="1"/>
      <w:numFmt w:val="bullet"/>
      <w:lvlText w:val=""/>
      <w:lvlJc w:val="left"/>
      <w:pPr>
        <w:tabs>
          <w:tab w:val="num" w:pos="720"/>
        </w:tabs>
        <w:ind w:left="720" w:hanging="360"/>
      </w:pPr>
      <w:rPr>
        <w:rFonts w:ascii="Symbol" w:hAnsi="Symbol" w:hint="default"/>
        <w:sz w:val="20"/>
      </w:rPr>
    </w:lvl>
    <w:lvl w:ilvl="1">
      <w:start w:val="77"/>
      <w:numFmt w:val="bullet"/>
      <w:lvlText w:val="-"/>
      <w:lvlJc w:val="left"/>
      <w:pPr>
        <w:ind w:left="1440" w:hanging="360"/>
      </w:pPr>
      <w:rPr>
        <w:rFonts w:ascii="Arial" w:eastAsia="Times New Roman" w:hAnsi="Arial" w:cs="Arial"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62D54"/>
    <w:multiLevelType w:val="hybridMultilevel"/>
    <w:tmpl w:val="7CDA2B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D330A1"/>
    <w:multiLevelType w:val="multilevel"/>
    <w:tmpl w:val="7626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35382E"/>
    <w:multiLevelType w:val="hybridMultilevel"/>
    <w:tmpl w:val="43F44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4071A5"/>
    <w:multiLevelType w:val="multilevel"/>
    <w:tmpl w:val="4CD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272AB"/>
    <w:multiLevelType w:val="multilevel"/>
    <w:tmpl w:val="A9C8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581970">
    <w:abstractNumId w:val="4"/>
  </w:num>
  <w:num w:numId="2" w16cid:durableId="23871386">
    <w:abstractNumId w:val="1"/>
  </w:num>
  <w:num w:numId="3" w16cid:durableId="1561361088">
    <w:abstractNumId w:val="20"/>
  </w:num>
  <w:num w:numId="4" w16cid:durableId="415060794">
    <w:abstractNumId w:val="0"/>
  </w:num>
  <w:num w:numId="5" w16cid:durableId="762722411">
    <w:abstractNumId w:val="2"/>
  </w:num>
  <w:num w:numId="6" w16cid:durableId="2072462327">
    <w:abstractNumId w:val="14"/>
  </w:num>
  <w:num w:numId="7" w16cid:durableId="1278826664">
    <w:abstractNumId w:val="6"/>
  </w:num>
  <w:num w:numId="8" w16cid:durableId="1045327531">
    <w:abstractNumId w:val="19"/>
  </w:num>
  <w:num w:numId="9" w16cid:durableId="1328511303">
    <w:abstractNumId w:val="9"/>
  </w:num>
  <w:num w:numId="10" w16cid:durableId="554896419">
    <w:abstractNumId w:val="10"/>
  </w:num>
  <w:num w:numId="11" w16cid:durableId="512768120">
    <w:abstractNumId w:val="15"/>
  </w:num>
  <w:num w:numId="12" w16cid:durableId="492913483">
    <w:abstractNumId w:val="5"/>
  </w:num>
  <w:num w:numId="13" w16cid:durableId="2001107321">
    <w:abstractNumId w:val="17"/>
  </w:num>
  <w:num w:numId="14" w16cid:durableId="1539051512">
    <w:abstractNumId w:val="7"/>
  </w:num>
  <w:num w:numId="15" w16cid:durableId="1887376587">
    <w:abstractNumId w:val="8"/>
  </w:num>
  <w:num w:numId="16" w16cid:durableId="1801997425">
    <w:abstractNumId w:val="18"/>
  </w:num>
  <w:num w:numId="17" w16cid:durableId="462888973">
    <w:abstractNumId w:val="13"/>
  </w:num>
  <w:num w:numId="18" w16cid:durableId="1432968346">
    <w:abstractNumId w:val="12"/>
  </w:num>
  <w:num w:numId="19" w16cid:durableId="473907368">
    <w:abstractNumId w:val="11"/>
  </w:num>
  <w:num w:numId="20" w16cid:durableId="189878950">
    <w:abstractNumId w:val="16"/>
  </w:num>
  <w:num w:numId="21" w16cid:durableId="35566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0E"/>
    <w:rsid w:val="00071BAE"/>
    <w:rsid w:val="0008780F"/>
    <w:rsid w:val="0014216A"/>
    <w:rsid w:val="00193D31"/>
    <w:rsid w:val="001B2668"/>
    <w:rsid w:val="001F6279"/>
    <w:rsid w:val="00207778"/>
    <w:rsid w:val="002152A8"/>
    <w:rsid w:val="0021785F"/>
    <w:rsid w:val="0022472E"/>
    <w:rsid w:val="00226872"/>
    <w:rsid w:val="00256F8C"/>
    <w:rsid w:val="00296321"/>
    <w:rsid w:val="002A17E3"/>
    <w:rsid w:val="002B3498"/>
    <w:rsid w:val="002D2BC1"/>
    <w:rsid w:val="00320F14"/>
    <w:rsid w:val="00356B77"/>
    <w:rsid w:val="003D29A5"/>
    <w:rsid w:val="00440732"/>
    <w:rsid w:val="00464A26"/>
    <w:rsid w:val="00470652"/>
    <w:rsid w:val="00474DB7"/>
    <w:rsid w:val="00476612"/>
    <w:rsid w:val="00477328"/>
    <w:rsid w:val="004C477F"/>
    <w:rsid w:val="005019D5"/>
    <w:rsid w:val="00510E0E"/>
    <w:rsid w:val="00520CCB"/>
    <w:rsid w:val="00552652"/>
    <w:rsid w:val="005A33C2"/>
    <w:rsid w:val="005E230B"/>
    <w:rsid w:val="005E2F6B"/>
    <w:rsid w:val="005F21EA"/>
    <w:rsid w:val="00625A51"/>
    <w:rsid w:val="006341B7"/>
    <w:rsid w:val="00646DA5"/>
    <w:rsid w:val="006D1ABE"/>
    <w:rsid w:val="006D6953"/>
    <w:rsid w:val="006F0791"/>
    <w:rsid w:val="007669E3"/>
    <w:rsid w:val="00772F87"/>
    <w:rsid w:val="00774CD3"/>
    <w:rsid w:val="00787F0E"/>
    <w:rsid w:val="007A70CF"/>
    <w:rsid w:val="007E3E86"/>
    <w:rsid w:val="007E5DC3"/>
    <w:rsid w:val="008076B2"/>
    <w:rsid w:val="00811DDE"/>
    <w:rsid w:val="008279C5"/>
    <w:rsid w:val="00854BDD"/>
    <w:rsid w:val="008664E0"/>
    <w:rsid w:val="00867C1B"/>
    <w:rsid w:val="008710D5"/>
    <w:rsid w:val="00874A12"/>
    <w:rsid w:val="008B2CE5"/>
    <w:rsid w:val="008D4120"/>
    <w:rsid w:val="0092304F"/>
    <w:rsid w:val="00944B50"/>
    <w:rsid w:val="00991E8B"/>
    <w:rsid w:val="00993224"/>
    <w:rsid w:val="009B451E"/>
    <w:rsid w:val="009F2356"/>
    <w:rsid w:val="009F494F"/>
    <w:rsid w:val="00A03DAF"/>
    <w:rsid w:val="00A11895"/>
    <w:rsid w:val="00A20300"/>
    <w:rsid w:val="00A5423A"/>
    <w:rsid w:val="00A64157"/>
    <w:rsid w:val="00A71807"/>
    <w:rsid w:val="00AB4677"/>
    <w:rsid w:val="00AF4C9A"/>
    <w:rsid w:val="00B10311"/>
    <w:rsid w:val="00B40892"/>
    <w:rsid w:val="00B9389D"/>
    <w:rsid w:val="00BB43AA"/>
    <w:rsid w:val="00BD53EF"/>
    <w:rsid w:val="00C54653"/>
    <w:rsid w:val="00C77241"/>
    <w:rsid w:val="00C93739"/>
    <w:rsid w:val="00CF465C"/>
    <w:rsid w:val="00D27F0E"/>
    <w:rsid w:val="00D66AA2"/>
    <w:rsid w:val="00DA537B"/>
    <w:rsid w:val="00E17641"/>
    <w:rsid w:val="00E17DBF"/>
    <w:rsid w:val="00E237B8"/>
    <w:rsid w:val="00E3037A"/>
    <w:rsid w:val="00E3163D"/>
    <w:rsid w:val="00E35096"/>
    <w:rsid w:val="00E81B35"/>
    <w:rsid w:val="00EC1235"/>
    <w:rsid w:val="00EF2A04"/>
    <w:rsid w:val="00FB4727"/>
    <w:rsid w:val="00FE0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0E05"/>
  <w15:chartTrackingRefBased/>
  <w15:docId w15:val="{6470AD24-DAD2-430C-8027-58E4DFEE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56F8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56F8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6F8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56F8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56F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56F8C"/>
    <w:rPr>
      <w:b/>
      <w:bCs/>
    </w:rPr>
  </w:style>
  <w:style w:type="character" w:styleId="Accentuation">
    <w:name w:val="Emphasis"/>
    <w:basedOn w:val="Policepardfaut"/>
    <w:uiPriority w:val="20"/>
    <w:qFormat/>
    <w:rsid w:val="00256F8C"/>
    <w:rPr>
      <w:i/>
      <w:iCs/>
    </w:rPr>
  </w:style>
  <w:style w:type="paragraph" w:styleId="Paragraphedeliste">
    <w:name w:val="List Paragraph"/>
    <w:basedOn w:val="Normal"/>
    <w:uiPriority w:val="34"/>
    <w:qFormat/>
    <w:rsid w:val="00470652"/>
    <w:pPr>
      <w:ind w:left="720"/>
      <w:contextualSpacing/>
    </w:pPr>
  </w:style>
  <w:style w:type="table" w:styleId="Grilledutableau">
    <w:name w:val="Table Grid"/>
    <w:basedOn w:val="TableauNormal"/>
    <w:uiPriority w:val="39"/>
    <w:rsid w:val="0047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76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253">
      <w:bodyDiv w:val="1"/>
      <w:marLeft w:val="0"/>
      <w:marRight w:val="0"/>
      <w:marTop w:val="0"/>
      <w:marBottom w:val="0"/>
      <w:divBdr>
        <w:top w:val="none" w:sz="0" w:space="0" w:color="auto"/>
        <w:left w:val="none" w:sz="0" w:space="0" w:color="auto"/>
        <w:bottom w:val="none" w:sz="0" w:space="0" w:color="auto"/>
        <w:right w:val="none" w:sz="0" w:space="0" w:color="auto"/>
      </w:divBdr>
      <w:divsChild>
        <w:div w:id="437215546">
          <w:marLeft w:val="0"/>
          <w:marRight w:val="0"/>
          <w:marTop w:val="0"/>
          <w:marBottom w:val="0"/>
          <w:divBdr>
            <w:top w:val="none" w:sz="0" w:space="0" w:color="auto"/>
            <w:left w:val="none" w:sz="0" w:space="0" w:color="auto"/>
            <w:bottom w:val="none" w:sz="0" w:space="0" w:color="auto"/>
            <w:right w:val="none" w:sz="0" w:space="0" w:color="auto"/>
          </w:divBdr>
        </w:div>
        <w:div w:id="912542256">
          <w:marLeft w:val="0"/>
          <w:marRight w:val="0"/>
          <w:marTop w:val="0"/>
          <w:marBottom w:val="0"/>
          <w:divBdr>
            <w:top w:val="none" w:sz="0" w:space="0" w:color="auto"/>
            <w:left w:val="none" w:sz="0" w:space="0" w:color="auto"/>
            <w:bottom w:val="none" w:sz="0" w:space="0" w:color="auto"/>
            <w:right w:val="none" w:sz="0" w:space="0" w:color="auto"/>
          </w:divBdr>
        </w:div>
        <w:div w:id="1187208370">
          <w:marLeft w:val="0"/>
          <w:marRight w:val="0"/>
          <w:marTop w:val="0"/>
          <w:marBottom w:val="0"/>
          <w:divBdr>
            <w:top w:val="none" w:sz="0" w:space="0" w:color="auto"/>
            <w:left w:val="none" w:sz="0" w:space="0" w:color="auto"/>
            <w:bottom w:val="none" w:sz="0" w:space="0" w:color="auto"/>
            <w:right w:val="none" w:sz="0" w:space="0" w:color="auto"/>
          </w:divBdr>
        </w:div>
        <w:div w:id="1229420530">
          <w:marLeft w:val="0"/>
          <w:marRight w:val="0"/>
          <w:marTop w:val="0"/>
          <w:marBottom w:val="0"/>
          <w:divBdr>
            <w:top w:val="none" w:sz="0" w:space="0" w:color="auto"/>
            <w:left w:val="none" w:sz="0" w:space="0" w:color="auto"/>
            <w:bottom w:val="none" w:sz="0" w:space="0" w:color="auto"/>
            <w:right w:val="none" w:sz="0" w:space="0" w:color="auto"/>
          </w:divBdr>
        </w:div>
        <w:div w:id="1417749772">
          <w:marLeft w:val="0"/>
          <w:marRight w:val="0"/>
          <w:marTop w:val="0"/>
          <w:marBottom w:val="0"/>
          <w:divBdr>
            <w:top w:val="none" w:sz="0" w:space="0" w:color="auto"/>
            <w:left w:val="none" w:sz="0" w:space="0" w:color="auto"/>
            <w:bottom w:val="none" w:sz="0" w:space="0" w:color="auto"/>
            <w:right w:val="none" w:sz="0" w:space="0" w:color="auto"/>
          </w:divBdr>
        </w:div>
        <w:div w:id="1431730787">
          <w:marLeft w:val="0"/>
          <w:marRight w:val="0"/>
          <w:marTop w:val="0"/>
          <w:marBottom w:val="0"/>
          <w:divBdr>
            <w:top w:val="none" w:sz="0" w:space="0" w:color="auto"/>
            <w:left w:val="none" w:sz="0" w:space="0" w:color="auto"/>
            <w:bottom w:val="none" w:sz="0" w:space="0" w:color="auto"/>
            <w:right w:val="none" w:sz="0" w:space="0" w:color="auto"/>
          </w:divBdr>
        </w:div>
        <w:div w:id="1814633869">
          <w:marLeft w:val="0"/>
          <w:marRight w:val="0"/>
          <w:marTop w:val="0"/>
          <w:marBottom w:val="0"/>
          <w:divBdr>
            <w:top w:val="none" w:sz="0" w:space="0" w:color="auto"/>
            <w:left w:val="none" w:sz="0" w:space="0" w:color="auto"/>
            <w:bottom w:val="none" w:sz="0" w:space="0" w:color="auto"/>
            <w:right w:val="none" w:sz="0" w:space="0" w:color="auto"/>
          </w:divBdr>
        </w:div>
        <w:div w:id="2075812791">
          <w:marLeft w:val="0"/>
          <w:marRight w:val="0"/>
          <w:marTop w:val="0"/>
          <w:marBottom w:val="0"/>
          <w:divBdr>
            <w:top w:val="none" w:sz="0" w:space="0" w:color="auto"/>
            <w:left w:val="none" w:sz="0" w:space="0" w:color="auto"/>
            <w:bottom w:val="none" w:sz="0" w:space="0" w:color="auto"/>
            <w:right w:val="none" w:sz="0" w:space="0" w:color="auto"/>
          </w:divBdr>
        </w:div>
      </w:divsChild>
    </w:div>
    <w:div w:id="1121341132">
      <w:bodyDiv w:val="1"/>
      <w:marLeft w:val="0"/>
      <w:marRight w:val="0"/>
      <w:marTop w:val="0"/>
      <w:marBottom w:val="0"/>
      <w:divBdr>
        <w:top w:val="none" w:sz="0" w:space="0" w:color="auto"/>
        <w:left w:val="none" w:sz="0" w:space="0" w:color="auto"/>
        <w:bottom w:val="none" w:sz="0" w:space="0" w:color="auto"/>
        <w:right w:val="none" w:sz="0" w:space="0" w:color="auto"/>
      </w:divBdr>
      <w:divsChild>
        <w:div w:id="147602914">
          <w:marLeft w:val="0"/>
          <w:marRight w:val="0"/>
          <w:marTop w:val="0"/>
          <w:marBottom w:val="0"/>
          <w:divBdr>
            <w:top w:val="none" w:sz="0" w:space="0" w:color="auto"/>
            <w:left w:val="none" w:sz="0" w:space="0" w:color="auto"/>
            <w:bottom w:val="none" w:sz="0" w:space="0" w:color="auto"/>
            <w:right w:val="none" w:sz="0" w:space="0" w:color="auto"/>
          </w:divBdr>
        </w:div>
        <w:div w:id="297343380">
          <w:marLeft w:val="0"/>
          <w:marRight w:val="0"/>
          <w:marTop w:val="0"/>
          <w:marBottom w:val="0"/>
          <w:divBdr>
            <w:top w:val="none" w:sz="0" w:space="0" w:color="auto"/>
            <w:left w:val="none" w:sz="0" w:space="0" w:color="auto"/>
            <w:bottom w:val="none" w:sz="0" w:space="0" w:color="auto"/>
            <w:right w:val="none" w:sz="0" w:space="0" w:color="auto"/>
          </w:divBdr>
        </w:div>
        <w:div w:id="362023020">
          <w:marLeft w:val="0"/>
          <w:marRight w:val="0"/>
          <w:marTop w:val="0"/>
          <w:marBottom w:val="0"/>
          <w:divBdr>
            <w:top w:val="none" w:sz="0" w:space="0" w:color="auto"/>
            <w:left w:val="none" w:sz="0" w:space="0" w:color="auto"/>
            <w:bottom w:val="none" w:sz="0" w:space="0" w:color="auto"/>
            <w:right w:val="none" w:sz="0" w:space="0" w:color="auto"/>
          </w:divBdr>
        </w:div>
        <w:div w:id="533495201">
          <w:marLeft w:val="0"/>
          <w:marRight w:val="0"/>
          <w:marTop w:val="0"/>
          <w:marBottom w:val="0"/>
          <w:divBdr>
            <w:top w:val="none" w:sz="0" w:space="0" w:color="auto"/>
            <w:left w:val="none" w:sz="0" w:space="0" w:color="auto"/>
            <w:bottom w:val="none" w:sz="0" w:space="0" w:color="auto"/>
            <w:right w:val="none" w:sz="0" w:space="0" w:color="auto"/>
          </w:divBdr>
        </w:div>
        <w:div w:id="873418682">
          <w:marLeft w:val="0"/>
          <w:marRight w:val="0"/>
          <w:marTop w:val="0"/>
          <w:marBottom w:val="0"/>
          <w:divBdr>
            <w:top w:val="none" w:sz="0" w:space="0" w:color="auto"/>
            <w:left w:val="none" w:sz="0" w:space="0" w:color="auto"/>
            <w:bottom w:val="none" w:sz="0" w:space="0" w:color="auto"/>
            <w:right w:val="none" w:sz="0" w:space="0" w:color="auto"/>
          </w:divBdr>
        </w:div>
        <w:div w:id="1436244894">
          <w:marLeft w:val="0"/>
          <w:marRight w:val="0"/>
          <w:marTop w:val="0"/>
          <w:marBottom w:val="0"/>
          <w:divBdr>
            <w:top w:val="none" w:sz="0" w:space="0" w:color="auto"/>
            <w:left w:val="none" w:sz="0" w:space="0" w:color="auto"/>
            <w:bottom w:val="none" w:sz="0" w:space="0" w:color="auto"/>
            <w:right w:val="none" w:sz="0" w:space="0" w:color="auto"/>
          </w:divBdr>
        </w:div>
        <w:div w:id="2065642261">
          <w:marLeft w:val="0"/>
          <w:marRight w:val="0"/>
          <w:marTop w:val="0"/>
          <w:marBottom w:val="0"/>
          <w:divBdr>
            <w:top w:val="none" w:sz="0" w:space="0" w:color="auto"/>
            <w:left w:val="none" w:sz="0" w:space="0" w:color="auto"/>
            <w:bottom w:val="none" w:sz="0" w:space="0" w:color="auto"/>
            <w:right w:val="none" w:sz="0" w:space="0" w:color="auto"/>
          </w:divBdr>
        </w:div>
        <w:div w:id="2111196395">
          <w:marLeft w:val="0"/>
          <w:marRight w:val="0"/>
          <w:marTop w:val="0"/>
          <w:marBottom w:val="0"/>
          <w:divBdr>
            <w:top w:val="none" w:sz="0" w:space="0" w:color="auto"/>
            <w:left w:val="none" w:sz="0" w:space="0" w:color="auto"/>
            <w:bottom w:val="none" w:sz="0" w:space="0" w:color="auto"/>
            <w:right w:val="none" w:sz="0" w:space="0" w:color="auto"/>
          </w:divBdr>
        </w:div>
      </w:divsChild>
    </w:div>
    <w:div w:id="1445542334">
      <w:bodyDiv w:val="1"/>
      <w:marLeft w:val="0"/>
      <w:marRight w:val="0"/>
      <w:marTop w:val="0"/>
      <w:marBottom w:val="0"/>
      <w:divBdr>
        <w:top w:val="none" w:sz="0" w:space="0" w:color="auto"/>
        <w:left w:val="none" w:sz="0" w:space="0" w:color="auto"/>
        <w:bottom w:val="none" w:sz="0" w:space="0" w:color="auto"/>
        <w:right w:val="none" w:sz="0" w:space="0" w:color="auto"/>
      </w:divBdr>
      <w:divsChild>
        <w:div w:id="77557074">
          <w:marLeft w:val="0"/>
          <w:marRight w:val="0"/>
          <w:marTop w:val="0"/>
          <w:marBottom w:val="0"/>
          <w:divBdr>
            <w:top w:val="none" w:sz="0" w:space="0" w:color="auto"/>
            <w:left w:val="none" w:sz="0" w:space="0" w:color="auto"/>
            <w:bottom w:val="none" w:sz="0" w:space="0" w:color="auto"/>
            <w:right w:val="none" w:sz="0" w:space="0" w:color="auto"/>
          </w:divBdr>
        </w:div>
        <w:div w:id="581110772">
          <w:marLeft w:val="0"/>
          <w:marRight w:val="0"/>
          <w:marTop w:val="0"/>
          <w:marBottom w:val="0"/>
          <w:divBdr>
            <w:top w:val="none" w:sz="0" w:space="0" w:color="auto"/>
            <w:left w:val="none" w:sz="0" w:space="0" w:color="auto"/>
            <w:bottom w:val="none" w:sz="0" w:space="0" w:color="auto"/>
            <w:right w:val="none" w:sz="0" w:space="0" w:color="auto"/>
          </w:divBdr>
        </w:div>
        <w:div w:id="645860794">
          <w:marLeft w:val="0"/>
          <w:marRight w:val="0"/>
          <w:marTop w:val="0"/>
          <w:marBottom w:val="0"/>
          <w:divBdr>
            <w:top w:val="none" w:sz="0" w:space="0" w:color="auto"/>
            <w:left w:val="none" w:sz="0" w:space="0" w:color="auto"/>
            <w:bottom w:val="none" w:sz="0" w:space="0" w:color="auto"/>
            <w:right w:val="none" w:sz="0" w:space="0" w:color="auto"/>
          </w:divBdr>
        </w:div>
        <w:div w:id="706560979">
          <w:marLeft w:val="0"/>
          <w:marRight w:val="0"/>
          <w:marTop w:val="0"/>
          <w:marBottom w:val="0"/>
          <w:divBdr>
            <w:top w:val="none" w:sz="0" w:space="0" w:color="auto"/>
            <w:left w:val="none" w:sz="0" w:space="0" w:color="auto"/>
            <w:bottom w:val="none" w:sz="0" w:space="0" w:color="auto"/>
            <w:right w:val="none" w:sz="0" w:space="0" w:color="auto"/>
          </w:divBdr>
        </w:div>
        <w:div w:id="1138189482">
          <w:marLeft w:val="0"/>
          <w:marRight w:val="0"/>
          <w:marTop w:val="0"/>
          <w:marBottom w:val="0"/>
          <w:divBdr>
            <w:top w:val="none" w:sz="0" w:space="0" w:color="auto"/>
            <w:left w:val="none" w:sz="0" w:space="0" w:color="auto"/>
            <w:bottom w:val="none" w:sz="0" w:space="0" w:color="auto"/>
            <w:right w:val="none" w:sz="0" w:space="0" w:color="auto"/>
          </w:divBdr>
        </w:div>
        <w:div w:id="1236278838">
          <w:marLeft w:val="0"/>
          <w:marRight w:val="0"/>
          <w:marTop w:val="0"/>
          <w:marBottom w:val="0"/>
          <w:divBdr>
            <w:top w:val="none" w:sz="0" w:space="0" w:color="auto"/>
            <w:left w:val="none" w:sz="0" w:space="0" w:color="auto"/>
            <w:bottom w:val="none" w:sz="0" w:space="0" w:color="auto"/>
            <w:right w:val="none" w:sz="0" w:space="0" w:color="auto"/>
          </w:divBdr>
        </w:div>
        <w:div w:id="1427380833">
          <w:marLeft w:val="0"/>
          <w:marRight w:val="0"/>
          <w:marTop w:val="0"/>
          <w:marBottom w:val="0"/>
          <w:divBdr>
            <w:top w:val="none" w:sz="0" w:space="0" w:color="auto"/>
            <w:left w:val="none" w:sz="0" w:space="0" w:color="auto"/>
            <w:bottom w:val="none" w:sz="0" w:space="0" w:color="auto"/>
            <w:right w:val="none" w:sz="0" w:space="0" w:color="auto"/>
          </w:divBdr>
        </w:div>
        <w:div w:id="144568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Evolution</a:t>
            </a:r>
            <a:r>
              <a:rPr lang="fr-FR" baseline="0"/>
              <a:t> des recettes propres à Bassila de 2020 -2023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cked"/>
        <c:varyColors val="0"/>
        <c:ser>
          <c:idx val="0"/>
          <c:order val="0"/>
          <c:tx>
            <c:strRef>
              <c:f>'Bassila '!$F$6</c:f>
              <c:strCache>
                <c:ptCount val="1"/>
                <c:pt idx="0">
                  <c:v>Recettes fiscales (RF) en Million de FCFA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'Bassila '!$E$7:$E$10</c:f>
              <c:strCache>
                <c:ptCount val="4"/>
                <c:pt idx="0">
                  <c:v>Année20</c:v>
                </c:pt>
                <c:pt idx="1">
                  <c:v>Année21</c:v>
                </c:pt>
                <c:pt idx="2">
                  <c:v>Année22</c:v>
                </c:pt>
                <c:pt idx="3">
                  <c:v>Année23</c:v>
                </c:pt>
              </c:strCache>
            </c:strRef>
          </c:cat>
          <c:val>
            <c:numRef>
              <c:f>'Bassila '!$F$7:$F$10</c:f>
              <c:numCache>
                <c:formatCode>General</c:formatCode>
                <c:ptCount val="4"/>
                <c:pt idx="0">
                  <c:v>39.914000000000001</c:v>
                </c:pt>
                <c:pt idx="1">
                  <c:v>64.775000000000006</c:v>
                </c:pt>
                <c:pt idx="2">
                  <c:v>88.048000000000002</c:v>
                </c:pt>
                <c:pt idx="3">
                  <c:v>77.975999999999999</c:v>
                </c:pt>
              </c:numCache>
            </c:numRef>
          </c:val>
          <c:smooth val="0"/>
          <c:extLst>
            <c:ext xmlns:c16="http://schemas.microsoft.com/office/drawing/2014/chart" uri="{C3380CC4-5D6E-409C-BE32-E72D297353CC}">
              <c16:uniqueId val="{00000000-E5A3-41BA-914B-E67CFDF358E2}"/>
            </c:ext>
          </c:extLst>
        </c:ser>
        <c:ser>
          <c:idx val="1"/>
          <c:order val="1"/>
          <c:tx>
            <c:strRef>
              <c:f>'Bassila '!$G$6</c:f>
              <c:strCache>
                <c:ptCount val="1"/>
                <c:pt idx="0">
                  <c:v>Recettes Non Fiscales (RNF) en Million de FCFA</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'Bassila '!$E$7:$E$10</c:f>
              <c:strCache>
                <c:ptCount val="4"/>
                <c:pt idx="0">
                  <c:v>Année20</c:v>
                </c:pt>
                <c:pt idx="1">
                  <c:v>Année21</c:v>
                </c:pt>
                <c:pt idx="2">
                  <c:v>Année22</c:v>
                </c:pt>
                <c:pt idx="3">
                  <c:v>Année23</c:v>
                </c:pt>
              </c:strCache>
            </c:strRef>
          </c:cat>
          <c:val>
            <c:numRef>
              <c:f>'Bassila '!$G$7:$G$10</c:f>
              <c:numCache>
                <c:formatCode>General</c:formatCode>
                <c:ptCount val="4"/>
                <c:pt idx="0">
                  <c:v>72.427000000000007</c:v>
                </c:pt>
                <c:pt idx="1">
                  <c:v>101.184</c:v>
                </c:pt>
                <c:pt idx="2">
                  <c:v>111.99</c:v>
                </c:pt>
                <c:pt idx="3">
                  <c:v>146.30199999999999</c:v>
                </c:pt>
              </c:numCache>
            </c:numRef>
          </c:val>
          <c:smooth val="0"/>
          <c:extLst>
            <c:ext xmlns:c16="http://schemas.microsoft.com/office/drawing/2014/chart" uri="{C3380CC4-5D6E-409C-BE32-E72D297353CC}">
              <c16:uniqueId val="{00000001-E5A3-41BA-914B-E67CFDF358E2}"/>
            </c:ext>
          </c:extLst>
        </c:ser>
        <c:ser>
          <c:idx val="2"/>
          <c:order val="2"/>
          <c:tx>
            <c:strRef>
              <c:f>'Bassila '!$H$6</c:f>
              <c:strCache>
                <c:ptCount val="1"/>
                <c:pt idx="0">
                  <c:v>Total en millions FCFA</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'Bassila '!$E$7:$E$10</c:f>
              <c:strCache>
                <c:ptCount val="4"/>
                <c:pt idx="0">
                  <c:v>Année20</c:v>
                </c:pt>
                <c:pt idx="1">
                  <c:v>Année21</c:v>
                </c:pt>
                <c:pt idx="2">
                  <c:v>Année22</c:v>
                </c:pt>
                <c:pt idx="3">
                  <c:v>Année23</c:v>
                </c:pt>
              </c:strCache>
            </c:strRef>
          </c:cat>
          <c:val>
            <c:numRef>
              <c:f>'Bassila '!$H$7:$H$10</c:f>
              <c:numCache>
                <c:formatCode>General</c:formatCode>
                <c:ptCount val="4"/>
                <c:pt idx="0">
                  <c:v>112.34099999999999</c:v>
                </c:pt>
                <c:pt idx="1">
                  <c:v>165.959</c:v>
                </c:pt>
                <c:pt idx="2">
                  <c:v>211.08799999999999</c:v>
                </c:pt>
                <c:pt idx="3">
                  <c:v>238.27799999999999</c:v>
                </c:pt>
              </c:numCache>
            </c:numRef>
          </c:val>
          <c:smooth val="0"/>
          <c:extLst>
            <c:ext xmlns:c16="http://schemas.microsoft.com/office/drawing/2014/chart" uri="{C3380CC4-5D6E-409C-BE32-E72D297353CC}">
              <c16:uniqueId val="{00000002-E5A3-41BA-914B-E67CFDF358E2}"/>
            </c:ext>
          </c:extLst>
        </c:ser>
        <c:dLbls>
          <c:dLblPos val="t"/>
          <c:showLegendKey val="0"/>
          <c:showVal val="1"/>
          <c:showCatName val="0"/>
          <c:showSerName val="0"/>
          <c:showPercent val="0"/>
          <c:showBubbleSize val="0"/>
        </c:dLbls>
        <c:smooth val="0"/>
        <c:axId val="1243734368"/>
        <c:axId val="1243726688"/>
      </c:lineChart>
      <c:catAx>
        <c:axId val="12437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726688"/>
        <c:crosses val="autoZero"/>
        <c:auto val="1"/>
        <c:lblAlgn val="ctr"/>
        <c:lblOffset val="100"/>
        <c:noMultiLvlLbl val="0"/>
      </c:catAx>
      <c:valAx>
        <c:axId val="124372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73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6297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dc:creator>
  <cp:keywords/>
  <dc:description/>
  <cp:lastModifiedBy>Abdoul Aziz  ADEBI</cp:lastModifiedBy>
  <cp:revision>2</cp:revision>
  <dcterms:created xsi:type="dcterms:W3CDTF">2025-06-21T14:48:00Z</dcterms:created>
  <dcterms:modified xsi:type="dcterms:W3CDTF">2025-06-21T14:48:00Z</dcterms:modified>
</cp:coreProperties>
</file>