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512A8" w14:textId="77777777" w:rsidR="004D6816" w:rsidRPr="00EE495C" w:rsidRDefault="004D6816" w:rsidP="004D6816">
      <w:pPr>
        <w:rPr>
          <w:rFonts w:ascii="Bookman Old Style" w:hAnsi="Bookman Old Style"/>
          <w:b/>
        </w:rPr>
      </w:pPr>
      <w:r w:rsidRPr="00EE495C">
        <w:rPr>
          <w:rFonts w:ascii="Bookman Old Style" w:hAnsi="Bookman Old Style"/>
          <w:noProof/>
        </w:rPr>
        <w:drawing>
          <wp:anchor distT="0" distB="0" distL="114300" distR="114300" simplePos="0" relativeHeight="251661312" behindDoc="0" locked="0" layoutInCell="1" allowOverlap="1" wp14:anchorId="7BC0F9AC" wp14:editId="35373FBC">
            <wp:simplePos x="0" y="0"/>
            <wp:positionH relativeFrom="margin">
              <wp:posOffset>5208270</wp:posOffset>
            </wp:positionH>
            <wp:positionV relativeFrom="margin">
              <wp:posOffset>-105410</wp:posOffset>
            </wp:positionV>
            <wp:extent cx="988695" cy="952500"/>
            <wp:effectExtent l="0" t="0" r="1905" b="0"/>
            <wp:wrapSquare wrapText="bothSides"/>
            <wp:docPr id="1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988695" cy="952500"/>
                    </a:xfrm>
                    <a:prstGeom prst="rect">
                      <a:avLst/>
                    </a:prstGeom>
                  </pic:spPr>
                </pic:pic>
              </a:graphicData>
            </a:graphic>
          </wp:anchor>
        </w:drawing>
      </w:r>
      <w:r w:rsidRPr="00EE495C">
        <w:rPr>
          <w:rFonts w:ascii="Bookman Old Style" w:hAnsi="Bookman Old Style"/>
          <w:noProof/>
        </w:rPr>
        <w:drawing>
          <wp:anchor distT="0" distB="0" distL="114300" distR="114300" simplePos="0" relativeHeight="251660288" behindDoc="0" locked="0" layoutInCell="1" allowOverlap="1" wp14:anchorId="2394D9B4" wp14:editId="20709008">
            <wp:simplePos x="0" y="0"/>
            <wp:positionH relativeFrom="margin">
              <wp:posOffset>-168275</wp:posOffset>
            </wp:positionH>
            <wp:positionV relativeFrom="paragraph">
              <wp:posOffset>22340</wp:posOffset>
            </wp:positionV>
            <wp:extent cx="964276" cy="786130"/>
            <wp:effectExtent l="0" t="0" r="7620" b="0"/>
            <wp:wrapNone/>
            <wp:docPr id="1479645737"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3832" cy="793921"/>
                    </a:xfrm>
                    <a:prstGeom prst="rect">
                      <a:avLst/>
                    </a:prstGeom>
                    <a:noFill/>
                  </pic:spPr>
                </pic:pic>
              </a:graphicData>
            </a:graphic>
            <wp14:sizeRelH relativeFrom="margin">
              <wp14:pctWidth>0</wp14:pctWidth>
            </wp14:sizeRelH>
            <wp14:sizeRelV relativeFrom="margin">
              <wp14:pctHeight>0</wp14:pctHeight>
            </wp14:sizeRelV>
          </wp:anchor>
        </w:drawing>
      </w:r>
      <w:r w:rsidRPr="00EE495C">
        <w:rPr>
          <w:rFonts w:ascii="Bookman Old Style" w:hAnsi="Bookman Old Style"/>
          <w:noProof/>
        </w:rPr>
        <mc:AlternateContent>
          <mc:Choice Requires="wps">
            <w:drawing>
              <wp:anchor distT="0" distB="0" distL="114300" distR="114300" simplePos="0" relativeHeight="251659264" behindDoc="0" locked="0" layoutInCell="1" allowOverlap="1" wp14:anchorId="19523AE1" wp14:editId="02A99785">
                <wp:simplePos x="0" y="0"/>
                <wp:positionH relativeFrom="margin">
                  <wp:posOffset>-642100</wp:posOffset>
                </wp:positionH>
                <wp:positionV relativeFrom="paragraph">
                  <wp:posOffset>-52473</wp:posOffset>
                </wp:positionV>
                <wp:extent cx="6838950" cy="1172094"/>
                <wp:effectExtent l="0" t="0" r="0" b="0"/>
                <wp:wrapNone/>
                <wp:docPr id="661338381" name="Rectangle 11"/>
                <wp:cNvGraphicFramePr/>
                <a:graphic xmlns:a="http://schemas.openxmlformats.org/drawingml/2006/main">
                  <a:graphicData uri="http://schemas.microsoft.com/office/word/2010/wordprocessingShape">
                    <wps:wsp>
                      <wps:cNvSpPr/>
                      <wps:spPr>
                        <a:xfrm>
                          <a:off x="0" y="0"/>
                          <a:ext cx="6838950" cy="1172094"/>
                        </a:xfrm>
                        <a:prstGeom prst="rect">
                          <a:avLst/>
                        </a:prstGeom>
                        <a:noFill/>
                        <a:ln w="12700" cap="flat" cmpd="sng" algn="ctr">
                          <a:noFill/>
                          <a:prstDash val="solid"/>
                          <a:miter lim="800000"/>
                        </a:ln>
                        <a:effectLst/>
                      </wps:spPr>
                      <wps:txbx>
                        <w:txbxContent>
                          <w:p w14:paraId="12BED641" w14:textId="77777777" w:rsidR="004D6816" w:rsidRDefault="004D6816" w:rsidP="004D6816">
                            <w:pPr>
                              <w:spacing w:line="240" w:lineRule="auto"/>
                              <w:jc w:val="center"/>
                              <w:rPr>
                                <w:rFonts w:ascii="Century Gothic" w:hAnsi="Century Gothic" w:cs="Arial"/>
                                <w:b/>
                                <w:color w:val="000000" w:themeColor="text1"/>
                                <w:sz w:val="20"/>
                                <w:szCs w:val="14"/>
                              </w:rPr>
                            </w:pPr>
                            <w:r>
                              <w:rPr>
                                <w:rFonts w:ascii="Century Gothic" w:hAnsi="Century Gothic" w:cs="Arial"/>
                                <w:b/>
                                <w:color w:val="000000" w:themeColor="text1"/>
                                <w:sz w:val="20"/>
                                <w:szCs w:val="14"/>
                              </w:rPr>
                              <w:t>REPUBLIQUE DU BENIN</w:t>
                            </w:r>
                          </w:p>
                          <w:p w14:paraId="3E2E3E26" w14:textId="77777777" w:rsidR="004D6816" w:rsidRDefault="004D6816" w:rsidP="004D6816">
                            <w:pPr>
                              <w:spacing w:line="240" w:lineRule="auto"/>
                              <w:contextualSpacing/>
                              <w:rPr>
                                <w:rFonts w:ascii="Century Gothic" w:hAnsi="Century Gothic" w:cs="Arial"/>
                                <w:b/>
                                <w:color w:val="000000" w:themeColor="text1"/>
                                <w:szCs w:val="16"/>
                              </w:rPr>
                            </w:pPr>
                            <w:r>
                              <w:rPr>
                                <w:rFonts w:ascii="Century Gothic" w:hAnsi="Century Gothic" w:cs="Arial"/>
                                <w:b/>
                                <w:color w:val="FF0000"/>
                                <w:szCs w:val="16"/>
                              </w:rPr>
                              <w:t xml:space="preserve">                                                                            </w:t>
                            </w:r>
                            <w:r>
                              <w:rPr>
                                <w:noProof/>
                                <w:sz w:val="20"/>
                                <w:szCs w:val="20"/>
                                <w:lang w:val="fr-BJ" w:eastAsia="fr-BJ"/>
                              </w:rPr>
                              <w:drawing>
                                <wp:inline distT="0" distB="0" distL="0" distR="0" wp14:anchorId="211C9A6E" wp14:editId="615D390A">
                                  <wp:extent cx="1074420" cy="45720"/>
                                  <wp:effectExtent l="0" t="0" r="0" b="0"/>
                                  <wp:docPr id="1415046302"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V="1">
                                            <a:off x="0" y="0"/>
                                            <a:ext cx="1074420" cy="45720"/>
                                          </a:xfrm>
                                          <a:prstGeom prst="rect">
                                            <a:avLst/>
                                          </a:prstGeom>
                                          <a:noFill/>
                                          <a:ln>
                                            <a:noFill/>
                                          </a:ln>
                                        </pic:spPr>
                                      </pic:pic>
                                    </a:graphicData>
                                  </a:graphic>
                                </wp:inline>
                              </w:drawing>
                            </w:r>
                            <w:r>
                              <w:rPr>
                                <w:rFonts w:ascii="Century Gothic" w:hAnsi="Century Gothic" w:cs="Arial"/>
                                <w:b/>
                                <w:color w:val="FF0000"/>
                                <w:szCs w:val="16"/>
                              </w:rPr>
                              <w:t xml:space="preserve">                                      </w:t>
                            </w:r>
                          </w:p>
                          <w:p w14:paraId="0F131D09" w14:textId="77777777" w:rsidR="004D6816" w:rsidRDefault="004D6816" w:rsidP="004D6816">
                            <w:pPr>
                              <w:spacing w:line="240" w:lineRule="auto"/>
                              <w:contextualSpacing/>
                              <w:jc w:val="center"/>
                              <w:rPr>
                                <w:rFonts w:ascii="Century Gothic" w:hAnsi="Century Gothic" w:cs="Arial"/>
                                <w:b/>
                                <w:color w:val="000000" w:themeColor="text1"/>
                                <w:sz w:val="6"/>
                                <w:szCs w:val="14"/>
                              </w:rPr>
                            </w:pPr>
                          </w:p>
                          <w:p w14:paraId="6B4DA4F4" w14:textId="77777777" w:rsidR="004D6816" w:rsidRDefault="004D6816" w:rsidP="004D6816">
                            <w:pPr>
                              <w:spacing w:line="240" w:lineRule="auto"/>
                              <w:contextualSpacing/>
                              <w:jc w:val="center"/>
                              <w:rPr>
                                <w:rFonts w:ascii="Century Gothic" w:hAnsi="Century Gothic" w:cs="Arial"/>
                                <w:b/>
                                <w:color w:val="000000" w:themeColor="text1"/>
                                <w:sz w:val="20"/>
                                <w:szCs w:val="14"/>
                              </w:rPr>
                            </w:pPr>
                            <w:r>
                              <w:rPr>
                                <w:rFonts w:ascii="Century Gothic" w:hAnsi="Century Gothic" w:cs="Arial"/>
                                <w:b/>
                                <w:color w:val="000000" w:themeColor="text1"/>
                                <w:sz w:val="20"/>
                                <w:szCs w:val="14"/>
                              </w:rPr>
                              <w:t xml:space="preserve">MINISTERE DE       </w:t>
                            </w:r>
                          </w:p>
                          <w:p w14:paraId="1CBE17CF" w14:textId="77777777" w:rsidR="004D6816" w:rsidRDefault="004D6816" w:rsidP="004D6816">
                            <w:pPr>
                              <w:spacing w:line="240" w:lineRule="auto"/>
                              <w:contextualSpacing/>
                              <w:jc w:val="center"/>
                              <w:rPr>
                                <w:rFonts w:ascii="Century Gothic" w:hAnsi="Century Gothic" w:cs="Arial"/>
                                <w:b/>
                                <w:color w:val="000000" w:themeColor="text1"/>
                                <w:sz w:val="20"/>
                                <w:szCs w:val="14"/>
                              </w:rPr>
                            </w:pPr>
                            <w:r>
                              <w:rPr>
                                <w:rFonts w:ascii="Century Gothic" w:hAnsi="Century Gothic" w:cs="Arial"/>
                                <w:b/>
                                <w:color w:val="000000" w:themeColor="text1"/>
                                <w:sz w:val="20"/>
                                <w:szCs w:val="14"/>
                              </w:rPr>
                              <w:t xml:space="preserve">                      LA DECENTRALISATION ET DE LA GOUVERNANCE LOCALE</w:t>
                            </w:r>
                          </w:p>
                          <w:p w14:paraId="43A41AB8" w14:textId="77777777" w:rsidR="004D6816" w:rsidRDefault="004D6816" w:rsidP="004D6816">
                            <w:pPr>
                              <w:spacing w:line="240" w:lineRule="auto"/>
                              <w:contextualSpacing/>
                              <w:jc w:val="center"/>
                              <w:rPr>
                                <w:rFonts w:ascii="Century Gothic" w:hAnsi="Century Gothic" w:cs="Arial"/>
                                <w:b/>
                                <w:color w:val="000000" w:themeColor="text1"/>
                                <w:sz w:val="20"/>
                                <w:szCs w:val="14"/>
                              </w:rPr>
                            </w:pPr>
                            <w:r>
                              <w:rPr>
                                <w:rFonts w:ascii="Century Gothic" w:hAnsi="Century Gothic" w:cs="Arial"/>
                                <w:b/>
                                <w:color w:val="000000" w:themeColor="text1"/>
                                <w:sz w:val="20"/>
                                <w:szCs w:val="14"/>
                              </w:rPr>
                              <w:t xml:space="preserve">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523AE1" id="Rectangle 11" o:spid="_x0000_s1026" style="position:absolute;margin-left:-50.55pt;margin-top:-4.15pt;width:538.5pt;height:92.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" filled="f" stroked="f" strokeweight="1pt">
                <v:textbox>
                  <w:txbxContent>
                    <w:p w14:paraId="12BED641" w14:textId="77777777" w:rsidR="004D6816" w:rsidRDefault="004D6816" w:rsidP="004D6816">
                      <w:pPr>
                        <w:spacing w:line="240" w:lineRule="auto"/>
                        <w:jc w:val="center"/>
                        <w:rPr>
                          <w:rFonts w:ascii="Century Gothic" w:hAnsi="Century Gothic" w:cs="Arial"/>
                          <w:b/>
                          <w:color w:val="000000" w:themeColor="text1"/>
                          <w:sz w:val="20"/>
                          <w:szCs w:val="14"/>
                        </w:rPr>
                      </w:pPr>
                      <w:r>
                        <w:rPr>
                          <w:rFonts w:ascii="Century Gothic" w:hAnsi="Century Gothic" w:cs="Arial"/>
                          <w:b/>
                          <w:color w:val="000000" w:themeColor="text1"/>
                          <w:sz w:val="20"/>
                          <w:szCs w:val="14"/>
                        </w:rPr>
                        <w:t>REPUBLIQUE DU BENIN</w:t>
                      </w:r>
                    </w:p>
                    <w:p w14:paraId="3E2E3E26" w14:textId="77777777" w:rsidR="004D6816" w:rsidRDefault="004D6816" w:rsidP="004D6816">
                      <w:pPr>
                        <w:spacing w:line="240" w:lineRule="auto"/>
                        <w:contextualSpacing/>
                        <w:rPr>
                          <w:rFonts w:ascii="Century Gothic" w:hAnsi="Century Gothic" w:cs="Arial"/>
                          <w:b/>
                          <w:color w:val="000000" w:themeColor="text1"/>
                          <w:szCs w:val="16"/>
                        </w:rPr>
                      </w:pPr>
                      <w:r>
                        <w:rPr>
                          <w:rFonts w:ascii="Century Gothic" w:hAnsi="Century Gothic" w:cs="Arial"/>
                          <w:b/>
                          <w:color w:val="FF0000"/>
                          <w:szCs w:val="16"/>
                        </w:rPr>
                        <w:t xml:space="preserve">                                                                            </w:t>
                      </w:r>
                      <w:r>
                        <w:rPr>
                          <w:noProof/>
                          <w:sz w:val="20"/>
                          <w:szCs w:val="20"/>
                          <w:lang w:val="fr-BJ" w:eastAsia="fr-BJ"/>
                        </w:rPr>
                        <w:drawing>
                          <wp:inline distT="0" distB="0" distL="0" distR="0" wp14:anchorId="211C9A6E" wp14:editId="615D390A">
                            <wp:extent cx="1074420" cy="45720"/>
                            <wp:effectExtent l="0" t="0" r="0" b="0"/>
                            <wp:docPr id="1415046302"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V="1">
                                      <a:off x="0" y="0"/>
                                      <a:ext cx="1074420" cy="45720"/>
                                    </a:xfrm>
                                    <a:prstGeom prst="rect">
                                      <a:avLst/>
                                    </a:prstGeom>
                                    <a:noFill/>
                                    <a:ln>
                                      <a:noFill/>
                                    </a:ln>
                                  </pic:spPr>
                                </pic:pic>
                              </a:graphicData>
                            </a:graphic>
                          </wp:inline>
                        </w:drawing>
                      </w:r>
                      <w:r>
                        <w:rPr>
                          <w:rFonts w:ascii="Century Gothic" w:hAnsi="Century Gothic" w:cs="Arial"/>
                          <w:b/>
                          <w:color w:val="FF0000"/>
                          <w:szCs w:val="16"/>
                        </w:rPr>
                        <w:t xml:space="preserve">                                      </w:t>
                      </w:r>
                    </w:p>
                    <w:p w14:paraId="0F131D09" w14:textId="77777777" w:rsidR="004D6816" w:rsidRDefault="004D6816" w:rsidP="004D6816">
                      <w:pPr>
                        <w:spacing w:line="240" w:lineRule="auto"/>
                        <w:contextualSpacing/>
                        <w:jc w:val="center"/>
                        <w:rPr>
                          <w:rFonts w:ascii="Century Gothic" w:hAnsi="Century Gothic" w:cs="Arial"/>
                          <w:b/>
                          <w:color w:val="000000" w:themeColor="text1"/>
                          <w:sz w:val="6"/>
                          <w:szCs w:val="14"/>
                        </w:rPr>
                      </w:pPr>
                    </w:p>
                    <w:p w14:paraId="6B4DA4F4" w14:textId="77777777" w:rsidR="004D6816" w:rsidRDefault="004D6816" w:rsidP="004D6816">
                      <w:pPr>
                        <w:spacing w:line="240" w:lineRule="auto"/>
                        <w:contextualSpacing/>
                        <w:jc w:val="center"/>
                        <w:rPr>
                          <w:rFonts w:ascii="Century Gothic" w:hAnsi="Century Gothic" w:cs="Arial"/>
                          <w:b/>
                          <w:color w:val="000000" w:themeColor="text1"/>
                          <w:sz w:val="20"/>
                          <w:szCs w:val="14"/>
                        </w:rPr>
                      </w:pPr>
                      <w:r>
                        <w:rPr>
                          <w:rFonts w:ascii="Century Gothic" w:hAnsi="Century Gothic" w:cs="Arial"/>
                          <w:b/>
                          <w:color w:val="000000" w:themeColor="text1"/>
                          <w:sz w:val="20"/>
                          <w:szCs w:val="14"/>
                        </w:rPr>
                        <w:t xml:space="preserve">MINISTERE DE       </w:t>
                      </w:r>
                    </w:p>
                    <w:p w14:paraId="1CBE17CF" w14:textId="77777777" w:rsidR="004D6816" w:rsidRDefault="004D6816" w:rsidP="004D6816">
                      <w:pPr>
                        <w:spacing w:line="240" w:lineRule="auto"/>
                        <w:contextualSpacing/>
                        <w:jc w:val="center"/>
                        <w:rPr>
                          <w:rFonts w:ascii="Century Gothic" w:hAnsi="Century Gothic" w:cs="Arial"/>
                          <w:b/>
                          <w:color w:val="000000" w:themeColor="text1"/>
                          <w:sz w:val="20"/>
                          <w:szCs w:val="14"/>
                        </w:rPr>
                      </w:pPr>
                      <w:r>
                        <w:rPr>
                          <w:rFonts w:ascii="Century Gothic" w:hAnsi="Century Gothic" w:cs="Arial"/>
                          <w:b/>
                          <w:color w:val="000000" w:themeColor="text1"/>
                          <w:sz w:val="20"/>
                          <w:szCs w:val="14"/>
                        </w:rPr>
                        <w:t xml:space="preserve">                      LA DECENTRALISATION ET DE LA GOUVERNANCE LOCALE</w:t>
                      </w:r>
                    </w:p>
                    <w:p w14:paraId="43A41AB8" w14:textId="77777777" w:rsidR="004D6816" w:rsidRDefault="004D6816" w:rsidP="004D6816">
                      <w:pPr>
                        <w:spacing w:line="240" w:lineRule="auto"/>
                        <w:contextualSpacing/>
                        <w:jc w:val="center"/>
                        <w:rPr>
                          <w:rFonts w:ascii="Century Gothic" w:hAnsi="Century Gothic" w:cs="Arial"/>
                          <w:b/>
                          <w:color w:val="000000" w:themeColor="text1"/>
                          <w:sz w:val="20"/>
                          <w:szCs w:val="14"/>
                        </w:rPr>
                      </w:pPr>
                      <w:r>
                        <w:rPr>
                          <w:rFonts w:ascii="Century Gothic" w:hAnsi="Century Gothic" w:cs="Arial"/>
                          <w:b/>
                          <w:color w:val="000000" w:themeColor="text1"/>
                          <w:sz w:val="20"/>
                          <w:szCs w:val="14"/>
                        </w:rPr>
                        <w:t xml:space="preserve">                     </w:t>
                      </w:r>
                    </w:p>
                  </w:txbxContent>
                </v:textbox>
                <w10:wrap anchorx="margin"/>
              </v:rect>
            </w:pict>
          </mc:Fallback>
        </mc:AlternateContent>
      </w:r>
    </w:p>
    <w:p w14:paraId="23B9AC5F" w14:textId="77777777" w:rsidR="004D6816" w:rsidRPr="00EE495C" w:rsidRDefault="004D6816" w:rsidP="004D6816">
      <w:pPr>
        <w:rPr>
          <w:rFonts w:ascii="Bookman Old Style" w:hAnsi="Bookman Old Style"/>
          <w:b/>
        </w:rPr>
      </w:pPr>
    </w:p>
    <w:p w14:paraId="25167D39" w14:textId="2A1648F8" w:rsidR="004D6816" w:rsidRPr="00EE495C" w:rsidRDefault="004D6816" w:rsidP="004D6816">
      <w:pPr>
        <w:rPr>
          <w:rFonts w:ascii="Bookman Old Style" w:hAnsi="Bookman Old Style"/>
          <w:b/>
        </w:rPr>
      </w:pPr>
      <w:r w:rsidRPr="00EE495C">
        <w:rPr>
          <w:rFonts w:ascii="Bookman Old Style" w:hAnsi="Bookman Old Style"/>
          <w:b/>
        </w:rPr>
        <w:t xml:space="preserve">  </w:t>
      </w:r>
    </w:p>
    <w:p w14:paraId="6ACEBCD6" w14:textId="4BFEA46F" w:rsidR="004D6816" w:rsidRPr="00EE495C" w:rsidRDefault="004D6816" w:rsidP="004D6816">
      <w:pPr>
        <w:rPr>
          <w:rFonts w:ascii="Bookman Old Style" w:hAnsi="Bookman Old Style"/>
          <w:b/>
        </w:rPr>
      </w:pPr>
    </w:p>
    <w:p w14:paraId="68120E40" w14:textId="64391C97" w:rsidR="004D6816" w:rsidRPr="00EE495C" w:rsidRDefault="004D6816" w:rsidP="004D6816">
      <w:pPr>
        <w:rPr>
          <w:rFonts w:ascii="Bookman Old Style" w:hAnsi="Bookman Old Style"/>
          <w:b/>
        </w:rPr>
      </w:pPr>
    </w:p>
    <w:p w14:paraId="496D31D5" w14:textId="044A0676" w:rsidR="00F16622" w:rsidRDefault="00F16622" w:rsidP="001663E2">
      <w:pPr>
        <w:spacing w:after="0"/>
        <w:rPr>
          <w:rFonts w:ascii="Trebuchet MS" w:hAnsi="Trebuchet MS"/>
        </w:rPr>
      </w:pPr>
      <w:bookmarkStart w:id="0" w:name="_Hlk198071890"/>
      <w:bookmarkStart w:id="1" w:name="_Hlk198072198"/>
    </w:p>
    <w:p w14:paraId="54B28E57" w14:textId="372C7A8A" w:rsidR="00F807D7" w:rsidRDefault="00F807D7" w:rsidP="00F16622">
      <w:pPr>
        <w:spacing w:line="276" w:lineRule="auto"/>
        <w:jc w:val="both"/>
        <w:rPr>
          <w:rFonts w:ascii="Trebuchet MS" w:hAnsi="Trebuchet MS"/>
        </w:rPr>
      </w:pPr>
    </w:p>
    <w:p w14:paraId="0F788503" w14:textId="3EB71073" w:rsidR="00F807D7" w:rsidRDefault="00F807D7" w:rsidP="00F16622">
      <w:pPr>
        <w:spacing w:line="276" w:lineRule="auto"/>
        <w:jc w:val="both"/>
        <w:rPr>
          <w:rFonts w:ascii="Trebuchet MS" w:hAnsi="Trebuchet MS"/>
        </w:rPr>
      </w:pPr>
    </w:p>
    <w:p w14:paraId="619CBFAA" w14:textId="4D58E1B1" w:rsidR="00F807D7" w:rsidRDefault="00F807D7" w:rsidP="00F16622">
      <w:pPr>
        <w:spacing w:line="276" w:lineRule="auto"/>
        <w:jc w:val="both"/>
        <w:rPr>
          <w:rFonts w:ascii="Trebuchet MS" w:hAnsi="Trebuchet MS"/>
        </w:rPr>
      </w:pPr>
    </w:p>
    <w:p w14:paraId="0B95A249" w14:textId="2C68DE85" w:rsidR="00F807D7" w:rsidRDefault="00F807D7" w:rsidP="00F16622">
      <w:pPr>
        <w:spacing w:line="276" w:lineRule="auto"/>
        <w:jc w:val="both"/>
        <w:rPr>
          <w:rFonts w:ascii="Trebuchet MS" w:hAnsi="Trebuchet MS"/>
        </w:rPr>
      </w:pPr>
    </w:p>
    <w:p w14:paraId="6417310C" w14:textId="332F2F16" w:rsidR="00F807D7" w:rsidRDefault="00F807D7" w:rsidP="00F16622">
      <w:pPr>
        <w:spacing w:line="276" w:lineRule="auto"/>
        <w:jc w:val="both"/>
        <w:rPr>
          <w:rFonts w:ascii="Trebuchet MS" w:hAnsi="Trebuchet MS"/>
        </w:rPr>
      </w:pPr>
    </w:p>
    <w:p w14:paraId="75EBD542" w14:textId="571C592A" w:rsidR="00F807D7" w:rsidRDefault="00F807D7" w:rsidP="00F16622">
      <w:pPr>
        <w:spacing w:line="276" w:lineRule="auto"/>
        <w:jc w:val="both"/>
        <w:rPr>
          <w:rFonts w:ascii="Trebuchet MS" w:hAnsi="Trebuchet MS"/>
        </w:rPr>
      </w:pPr>
    </w:p>
    <w:p w14:paraId="37E1D43E" w14:textId="02F715DD" w:rsidR="00F807D7" w:rsidRDefault="00F807D7" w:rsidP="00F16622">
      <w:pPr>
        <w:spacing w:line="276" w:lineRule="auto"/>
        <w:jc w:val="both"/>
        <w:rPr>
          <w:rFonts w:ascii="Trebuchet MS" w:hAnsi="Trebuchet MS"/>
        </w:rPr>
      </w:pPr>
      <w:r w:rsidRPr="00EE495C">
        <w:rPr>
          <w:rFonts w:ascii="Bookman Old Style" w:hAnsi="Bookman Old Style"/>
          <w:noProof/>
        </w:rPr>
        <mc:AlternateContent>
          <mc:Choice Requires="wps">
            <w:drawing>
              <wp:anchor distT="0" distB="0" distL="114300" distR="114300" simplePos="0" relativeHeight="251662336" behindDoc="0" locked="0" layoutInCell="1" allowOverlap="1" wp14:anchorId="3F266B42" wp14:editId="21A56F6E">
                <wp:simplePos x="0" y="0"/>
                <wp:positionH relativeFrom="margin">
                  <wp:posOffset>729741</wp:posOffset>
                </wp:positionH>
                <wp:positionV relativeFrom="paragraph">
                  <wp:posOffset>181416</wp:posOffset>
                </wp:positionV>
                <wp:extent cx="5017865" cy="1020198"/>
                <wp:effectExtent l="0" t="0" r="0" b="8890"/>
                <wp:wrapNone/>
                <wp:docPr id="1798787963" name="Zone de texte 1"/>
                <wp:cNvGraphicFramePr/>
                <a:graphic xmlns:a="http://schemas.openxmlformats.org/drawingml/2006/main">
                  <a:graphicData uri="http://schemas.microsoft.com/office/word/2010/wordprocessingShape">
                    <wps:wsp>
                      <wps:cNvSpPr txBox="1"/>
                      <wps:spPr>
                        <a:xfrm>
                          <a:off x="0" y="0"/>
                          <a:ext cx="5017865" cy="1020198"/>
                        </a:xfrm>
                        <a:prstGeom prst="rect">
                          <a:avLst/>
                        </a:prstGeom>
                        <a:noFill/>
                        <a:ln>
                          <a:noFill/>
                        </a:ln>
                      </wps:spPr>
                      <wps:txbx>
                        <w:txbxContent>
                          <w:p w14:paraId="2EFCAF8B" w14:textId="77777777" w:rsidR="00F807D7" w:rsidRDefault="004D6816" w:rsidP="004D6816">
                            <w:pPr>
                              <w:jc w:val="center"/>
                              <w:rPr>
                                <w:rFonts w:ascii="Bookman Old Style" w:hAnsi="Bookman Old Style"/>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E1C0D">
                              <w:rPr>
                                <w:rFonts w:ascii="Bookman Old Style" w:hAnsi="Bookman Old Style"/>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SYNTHESE DU PLAN DE </w:t>
                            </w:r>
                            <w:r w:rsidR="00F16622">
                              <w:rPr>
                                <w:rFonts w:ascii="Bookman Old Style" w:hAnsi="Bookman Old Style"/>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CONTINGENCE </w:t>
                            </w:r>
                          </w:p>
                          <w:p w14:paraId="50620E9F" w14:textId="56464741" w:rsidR="004D6816" w:rsidRPr="00AE1C0D" w:rsidRDefault="00F16622" w:rsidP="004D6816">
                            <w:pPr>
                              <w:jc w:val="center"/>
                              <w:rPr>
                                <w:rFonts w:ascii="Bookman Old Style" w:hAnsi="Bookman Old Style"/>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ookman Old Style" w:hAnsi="Bookman Old Style"/>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COMMUNAL </w:t>
                            </w:r>
                            <w:r w:rsidR="004D6816" w:rsidRPr="00AE1C0D">
                              <w:rPr>
                                <w:rFonts w:ascii="Bookman Old Style" w:hAnsi="Bookman Old Style"/>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w:t>
                            </w:r>
                            <w:r>
                              <w:rPr>
                                <w:rFonts w:ascii="Bookman Old Style" w:hAnsi="Bookman Old Style"/>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004D6816" w:rsidRPr="00AE1C0D">
                              <w:rPr>
                                <w:rFonts w:ascii="Bookman Old Style" w:hAnsi="Bookman Old Style"/>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Pr>
                                <w:rFonts w:ascii="Bookman Old Style" w:hAnsi="Bookman Old Style"/>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2025</w:t>
                            </w:r>
                            <w:r w:rsidR="00F807D7">
                              <w:rPr>
                                <w:rFonts w:ascii="Bookman Old Style" w:hAnsi="Bookman Old Style"/>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NATITINGOU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266B42" id="_x0000_t202" coordsize="21600,21600" o:spt="202" path="m,l,21600r21600,l21600,xe">
                <v:stroke joinstyle="miter"/>
                <v:path gradientshapeok="t" o:connecttype="rect"/>
              </v:shapetype>
              <v:shape id="Zone de texte 1" o:spid="_x0000_s1027" type="#_x0000_t202" style="position:absolute;left:0;text-align:left;margin-left:57.45pt;margin-top:14.3pt;width:395.1pt;height:80.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" filled="f" stroked="f">
                <v:textbox>
                  <w:txbxContent>
                    <w:p w14:paraId="2EFCAF8B" w14:textId="77777777" w:rsidR="00F807D7" w:rsidRDefault="004D6816" w:rsidP="004D6816">
                      <w:pPr>
                        <w:jc w:val="center"/>
                        <w:rPr>
                          <w:rFonts w:ascii="Bookman Old Style" w:hAnsi="Bookman Old Style"/>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E1C0D">
                        <w:rPr>
                          <w:rFonts w:ascii="Bookman Old Style" w:hAnsi="Bookman Old Style"/>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SYNTHESE DU PLAN DE </w:t>
                      </w:r>
                      <w:r w:rsidR="00F16622">
                        <w:rPr>
                          <w:rFonts w:ascii="Bookman Old Style" w:hAnsi="Bookman Old Style"/>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CONTINGENCE </w:t>
                      </w:r>
                    </w:p>
                    <w:p w14:paraId="50620E9F" w14:textId="56464741" w:rsidR="004D6816" w:rsidRPr="00AE1C0D" w:rsidRDefault="00F16622" w:rsidP="004D6816">
                      <w:pPr>
                        <w:jc w:val="center"/>
                        <w:rPr>
                          <w:rFonts w:ascii="Bookman Old Style" w:hAnsi="Bookman Old Style"/>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ookman Old Style" w:hAnsi="Bookman Old Style"/>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COMMUNAL </w:t>
                      </w:r>
                      <w:r w:rsidR="004D6816" w:rsidRPr="00AE1C0D">
                        <w:rPr>
                          <w:rFonts w:ascii="Bookman Old Style" w:hAnsi="Bookman Old Style"/>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w:t>
                      </w:r>
                      <w:r>
                        <w:rPr>
                          <w:rFonts w:ascii="Bookman Old Style" w:hAnsi="Bookman Old Style"/>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004D6816" w:rsidRPr="00AE1C0D">
                        <w:rPr>
                          <w:rFonts w:ascii="Bookman Old Style" w:hAnsi="Bookman Old Style"/>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Pr>
                          <w:rFonts w:ascii="Bookman Old Style" w:hAnsi="Bookman Old Style"/>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2025</w:t>
                      </w:r>
                      <w:r w:rsidR="00F807D7">
                        <w:rPr>
                          <w:rFonts w:ascii="Bookman Old Style" w:hAnsi="Bookman Old Style"/>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NATITINGOU</w:t>
                      </w:r>
                    </w:p>
                  </w:txbxContent>
                </v:textbox>
                <w10:wrap anchorx="margin"/>
              </v:shape>
            </w:pict>
          </mc:Fallback>
        </mc:AlternateContent>
      </w:r>
    </w:p>
    <w:p w14:paraId="7E408CC2" w14:textId="77777777" w:rsidR="00F807D7" w:rsidRDefault="00F807D7" w:rsidP="00F16622">
      <w:pPr>
        <w:spacing w:line="276" w:lineRule="auto"/>
        <w:jc w:val="both"/>
        <w:rPr>
          <w:rFonts w:ascii="Trebuchet MS" w:hAnsi="Trebuchet MS"/>
        </w:rPr>
      </w:pPr>
    </w:p>
    <w:p w14:paraId="75F70601" w14:textId="77777777" w:rsidR="00F807D7" w:rsidRDefault="00F807D7" w:rsidP="00F16622">
      <w:pPr>
        <w:spacing w:line="276" w:lineRule="auto"/>
        <w:jc w:val="both"/>
        <w:rPr>
          <w:rFonts w:ascii="Trebuchet MS" w:hAnsi="Trebuchet MS"/>
        </w:rPr>
      </w:pPr>
    </w:p>
    <w:p w14:paraId="5998FFBC" w14:textId="77777777" w:rsidR="00F807D7" w:rsidRDefault="00F807D7" w:rsidP="00F16622">
      <w:pPr>
        <w:spacing w:line="276" w:lineRule="auto"/>
        <w:jc w:val="both"/>
        <w:rPr>
          <w:rFonts w:ascii="Trebuchet MS" w:hAnsi="Trebuchet MS"/>
        </w:rPr>
      </w:pPr>
    </w:p>
    <w:p w14:paraId="22AFE24E" w14:textId="77777777" w:rsidR="00F807D7" w:rsidRDefault="00F807D7" w:rsidP="00F16622">
      <w:pPr>
        <w:spacing w:line="276" w:lineRule="auto"/>
        <w:jc w:val="both"/>
        <w:rPr>
          <w:rFonts w:ascii="Trebuchet MS" w:hAnsi="Trebuchet MS"/>
        </w:rPr>
      </w:pPr>
    </w:p>
    <w:p w14:paraId="48DFA160" w14:textId="77777777" w:rsidR="00F807D7" w:rsidRDefault="00F807D7" w:rsidP="00F16622">
      <w:pPr>
        <w:spacing w:line="276" w:lineRule="auto"/>
        <w:jc w:val="both"/>
        <w:rPr>
          <w:rFonts w:ascii="Trebuchet MS" w:hAnsi="Trebuchet MS"/>
        </w:rPr>
      </w:pPr>
    </w:p>
    <w:p w14:paraId="718C7A73" w14:textId="77777777" w:rsidR="00F807D7" w:rsidRDefault="00F807D7" w:rsidP="00F16622">
      <w:pPr>
        <w:spacing w:line="276" w:lineRule="auto"/>
        <w:jc w:val="both"/>
        <w:rPr>
          <w:rFonts w:ascii="Trebuchet MS" w:hAnsi="Trebuchet MS"/>
        </w:rPr>
      </w:pPr>
    </w:p>
    <w:p w14:paraId="5242AAE7" w14:textId="77777777" w:rsidR="00F807D7" w:rsidRDefault="00F807D7" w:rsidP="00F16622">
      <w:pPr>
        <w:spacing w:line="276" w:lineRule="auto"/>
        <w:jc w:val="both"/>
        <w:rPr>
          <w:rFonts w:ascii="Trebuchet MS" w:hAnsi="Trebuchet MS"/>
        </w:rPr>
      </w:pPr>
    </w:p>
    <w:p w14:paraId="2B7E328E" w14:textId="77777777" w:rsidR="00F807D7" w:rsidRDefault="00F807D7" w:rsidP="00F16622">
      <w:pPr>
        <w:spacing w:line="276" w:lineRule="auto"/>
        <w:jc w:val="both"/>
        <w:rPr>
          <w:rFonts w:ascii="Trebuchet MS" w:hAnsi="Trebuchet MS"/>
        </w:rPr>
      </w:pPr>
    </w:p>
    <w:p w14:paraId="2396E6BB" w14:textId="77777777" w:rsidR="00F807D7" w:rsidRDefault="00F807D7" w:rsidP="00F16622">
      <w:pPr>
        <w:spacing w:line="276" w:lineRule="auto"/>
        <w:jc w:val="both"/>
        <w:rPr>
          <w:rFonts w:ascii="Trebuchet MS" w:hAnsi="Trebuchet MS"/>
        </w:rPr>
      </w:pPr>
    </w:p>
    <w:p w14:paraId="7D1E39D5" w14:textId="77777777" w:rsidR="00F807D7" w:rsidRDefault="00F807D7" w:rsidP="00F16622">
      <w:pPr>
        <w:spacing w:line="276" w:lineRule="auto"/>
        <w:jc w:val="both"/>
        <w:rPr>
          <w:rFonts w:ascii="Trebuchet MS" w:hAnsi="Trebuchet MS"/>
        </w:rPr>
      </w:pPr>
    </w:p>
    <w:p w14:paraId="37491B58" w14:textId="77777777" w:rsidR="00F807D7" w:rsidRDefault="00F807D7" w:rsidP="00F16622">
      <w:pPr>
        <w:spacing w:line="276" w:lineRule="auto"/>
        <w:jc w:val="both"/>
        <w:rPr>
          <w:rFonts w:ascii="Trebuchet MS" w:hAnsi="Trebuchet MS"/>
        </w:rPr>
      </w:pPr>
    </w:p>
    <w:p w14:paraId="574F2EBE" w14:textId="77777777" w:rsidR="00F807D7" w:rsidRDefault="00F807D7" w:rsidP="00F16622">
      <w:pPr>
        <w:spacing w:line="276" w:lineRule="auto"/>
        <w:jc w:val="both"/>
        <w:rPr>
          <w:rFonts w:ascii="Trebuchet MS" w:hAnsi="Trebuchet MS"/>
        </w:rPr>
      </w:pPr>
    </w:p>
    <w:p w14:paraId="6ECE7FD8" w14:textId="77777777" w:rsidR="00F807D7" w:rsidRDefault="00F807D7" w:rsidP="00F16622">
      <w:pPr>
        <w:spacing w:line="276" w:lineRule="auto"/>
        <w:jc w:val="both"/>
        <w:rPr>
          <w:rFonts w:ascii="Trebuchet MS" w:hAnsi="Trebuchet MS"/>
        </w:rPr>
      </w:pPr>
    </w:p>
    <w:p w14:paraId="68D6F38C" w14:textId="77777777" w:rsidR="00F807D7" w:rsidRDefault="00F807D7" w:rsidP="00F16622">
      <w:pPr>
        <w:spacing w:line="276" w:lineRule="auto"/>
        <w:jc w:val="both"/>
        <w:rPr>
          <w:rFonts w:ascii="Trebuchet MS" w:hAnsi="Trebuchet MS"/>
        </w:rPr>
      </w:pPr>
    </w:p>
    <w:p w14:paraId="4C6B9B50" w14:textId="77777777" w:rsidR="00F807D7" w:rsidRDefault="00F807D7" w:rsidP="00F16622">
      <w:pPr>
        <w:spacing w:line="276" w:lineRule="auto"/>
        <w:jc w:val="both"/>
        <w:rPr>
          <w:rFonts w:ascii="Trebuchet MS" w:hAnsi="Trebuchet MS"/>
        </w:rPr>
      </w:pPr>
    </w:p>
    <w:p w14:paraId="7956AB00" w14:textId="77777777" w:rsidR="00F807D7" w:rsidRPr="00CF076E" w:rsidRDefault="00F807D7" w:rsidP="00F807D7">
      <w:pPr>
        <w:pStyle w:val="Pieddepage"/>
        <w:jc w:val="center"/>
        <w:rPr>
          <w:b/>
          <w:bCs/>
          <w:i/>
          <w:iCs/>
        </w:rPr>
      </w:pPr>
      <w:r w:rsidRPr="00A34D1A">
        <w:rPr>
          <w:b/>
          <w:bCs/>
          <w:i/>
          <w:iCs/>
          <w:sz w:val="20"/>
          <w:szCs w:val="20"/>
        </w:rPr>
        <w:t>REALISE AVEC LE SOUTIEN TECHNIQUE ET FINANCIER DE :</w:t>
      </w:r>
    </w:p>
    <w:p w14:paraId="0CEB116B" w14:textId="77777777" w:rsidR="00F807D7" w:rsidRDefault="00F807D7" w:rsidP="00F807D7">
      <w:pPr>
        <w:spacing w:after="0" w:line="240" w:lineRule="auto"/>
        <w:jc w:val="center"/>
        <w:rPr>
          <w:rFonts w:ascii="Arial" w:hAnsi="Arial" w:cs="Arial"/>
          <w:b/>
          <w:bCs/>
          <w:sz w:val="24"/>
          <w:szCs w:val="24"/>
        </w:rPr>
      </w:pPr>
      <w:r>
        <w:rPr>
          <w:noProof/>
        </w:rPr>
        <w:drawing>
          <wp:anchor distT="0" distB="0" distL="114300" distR="114300" simplePos="0" relativeHeight="251669504" behindDoc="0" locked="0" layoutInCell="1" allowOverlap="1" wp14:anchorId="7E6E3C32" wp14:editId="31881286">
            <wp:simplePos x="0" y="0"/>
            <wp:positionH relativeFrom="column">
              <wp:posOffset>1812925</wp:posOffset>
            </wp:positionH>
            <wp:positionV relativeFrom="paragraph">
              <wp:posOffset>91440</wp:posOffset>
            </wp:positionV>
            <wp:extent cx="669925" cy="676275"/>
            <wp:effectExtent l="0" t="0" r="0" b="9525"/>
            <wp:wrapSquare wrapText="bothSides"/>
            <wp:docPr id="799487100" name="Image 799487100" descr="Une image contenant symbole, Graphique, cercle, clipar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487100" name="Image 799487100" descr="Une image contenant symbole, Graphique, cercle, clipart&#10;&#10;Le contenu généré par l’IA peut êtr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992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1" locked="0" layoutInCell="0" allowOverlap="1" wp14:anchorId="646AC8BA" wp14:editId="6FA37ACF">
            <wp:simplePos x="0" y="0"/>
            <wp:positionH relativeFrom="page">
              <wp:posOffset>4022725</wp:posOffset>
            </wp:positionH>
            <wp:positionV relativeFrom="paragraph">
              <wp:posOffset>163830</wp:posOffset>
            </wp:positionV>
            <wp:extent cx="1223010" cy="579120"/>
            <wp:effectExtent l="0" t="0" r="0" b="0"/>
            <wp:wrapSquare wrapText="bothSides"/>
            <wp:docPr id="1362173923" name="Image 1362173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173923" name="Image 1362173923"/>
                    <pic:cNvPicPr>
                      <a:picLocks noChangeAspect="1" noChangeArrowheads="1"/>
                    </pic:cNvPicPr>
                  </pic:nvPicPr>
                  <pic:blipFill>
                    <a:blip r:embed="rId11"/>
                    <a:stretch>
                      <a:fillRect/>
                    </a:stretch>
                  </pic:blipFill>
                  <pic:spPr>
                    <a:xfrm>
                      <a:off x="0" y="0"/>
                      <a:ext cx="1223010" cy="579120"/>
                    </a:xfrm>
                    <a:prstGeom prst="rect">
                      <a:avLst/>
                    </a:prstGeom>
                  </pic:spPr>
                </pic:pic>
              </a:graphicData>
            </a:graphic>
            <wp14:sizeRelH relativeFrom="margin">
              <wp14:pctWidth>0</wp14:pctWidth>
            </wp14:sizeRelH>
            <wp14:sizeRelV relativeFrom="margin">
              <wp14:pctHeight>0</wp14:pctHeight>
            </wp14:sizeRelV>
          </wp:anchor>
        </w:drawing>
      </w:r>
    </w:p>
    <w:p w14:paraId="3107F76F" w14:textId="77777777" w:rsidR="00F807D7" w:rsidRDefault="00F807D7" w:rsidP="00F807D7">
      <w:pPr>
        <w:spacing w:after="0" w:line="240" w:lineRule="auto"/>
        <w:jc w:val="center"/>
        <w:rPr>
          <w:rFonts w:ascii="Arial" w:hAnsi="Arial" w:cs="Arial"/>
          <w:b/>
          <w:bCs/>
          <w:sz w:val="24"/>
          <w:szCs w:val="24"/>
        </w:rPr>
      </w:pPr>
    </w:p>
    <w:p w14:paraId="19AC34B1" w14:textId="77777777" w:rsidR="00F807D7" w:rsidRDefault="00F807D7" w:rsidP="00F807D7">
      <w:pPr>
        <w:spacing w:after="0" w:line="240" w:lineRule="auto"/>
        <w:jc w:val="center"/>
        <w:rPr>
          <w:rFonts w:ascii="Arial" w:hAnsi="Arial" w:cs="Arial"/>
          <w:b/>
          <w:bCs/>
          <w:sz w:val="24"/>
          <w:szCs w:val="24"/>
        </w:rPr>
      </w:pPr>
    </w:p>
    <w:p w14:paraId="39B6E2A9" w14:textId="77777777" w:rsidR="00F807D7" w:rsidRDefault="00F807D7" w:rsidP="00F16622">
      <w:pPr>
        <w:spacing w:line="276" w:lineRule="auto"/>
        <w:jc w:val="both"/>
        <w:rPr>
          <w:rFonts w:ascii="Trebuchet MS" w:hAnsi="Trebuchet MS"/>
        </w:rPr>
      </w:pPr>
    </w:p>
    <w:p w14:paraId="14646DDF" w14:textId="77777777" w:rsidR="00F807D7" w:rsidRDefault="00F807D7" w:rsidP="00F16622">
      <w:pPr>
        <w:spacing w:line="276" w:lineRule="auto"/>
        <w:jc w:val="both"/>
        <w:rPr>
          <w:rFonts w:ascii="Trebuchet MS" w:hAnsi="Trebuchet MS"/>
        </w:rPr>
      </w:pPr>
    </w:p>
    <w:p w14:paraId="4E3C815B" w14:textId="77777777" w:rsidR="00F807D7" w:rsidRDefault="00F807D7" w:rsidP="00F16622">
      <w:pPr>
        <w:spacing w:line="276" w:lineRule="auto"/>
        <w:jc w:val="both"/>
        <w:rPr>
          <w:rFonts w:ascii="Trebuchet MS" w:hAnsi="Trebuchet MS"/>
        </w:rPr>
      </w:pPr>
    </w:p>
    <w:p w14:paraId="64DF89FC" w14:textId="77777777" w:rsidR="00F807D7" w:rsidRDefault="00F807D7" w:rsidP="00F16622">
      <w:pPr>
        <w:spacing w:line="276" w:lineRule="auto"/>
        <w:jc w:val="both"/>
        <w:rPr>
          <w:rFonts w:ascii="Trebuchet MS" w:hAnsi="Trebuchet MS"/>
        </w:rPr>
      </w:pPr>
    </w:p>
    <w:p w14:paraId="1EEA963F" w14:textId="77777777" w:rsidR="00F807D7" w:rsidRDefault="00F807D7" w:rsidP="00F16622">
      <w:pPr>
        <w:spacing w:line="276" w:lineRule="auto"/>
        <w:jc w:val="both"/>
        <w:rPr>
          <w:rFonts w:ascii="Trebuchet MS" w:hAnsi="Trebuchet MS"/>
        </w:rPr>
      </w:pPr>
    </w:p>
    <w:p w14:paraId="49CAE69E" w14:textId="77777777" w:rsidR="00F807D7" w:rsidRDefault="00F807D7" w:rsidP="00F16622">
      <w:pPr>
        <w:spacing w:line="276" w:lineRule="auto"/>
        <w:jc w:val="both"/>
        <w:rPr>
          <w:rFonts w:ascii="Trebuchet MS" w:hAnsi="Trebuchet MS"/>
        </w:rPr>
      </w:pPr>
    </w:p>
    <w:p w14:paraId="5E269858" w14:textId="77777777" w:rsidR="00F807D7" w:rsidRPr="00111440" w:rsidRDefault="00F807D7" w:rsidP="00F807D7">
      <w:pPr>
        <w:pStyle w:val="Titre1"/>
        <w:numPr>
          <w:ilvl w:val="0"/>
          <w:numId w:val="7"/>
        </w:numPr>
        <w:spacing w:before="0" w:after="0" w:line="360" w:lineRule="auto"/>
        <w:jc w:val="both"/>
        <w:rPr>
          <w:rFonts w:ascii="Trebuchet MS" w:hAnsi="Trebuchet MS"/>
          <w:sz w:val="24"/>
          <w:szCs w:val="24"/>
        </w:rPr>
      </w:pPr>
      <w:r w:rsidRPr="00111440">
        <w:rPr>
          <w:rFonts w:ascii="Trebuchet MS" w:hAnsi="Trebuchet MS"/>
          <w:sz w:val="24"/>
          <w:szCs w:val="24"/>
        </w:rPr>
        <w:t>Présentation de la Commune de Natitingou</w:t>
      </w:r>
    </w:p>
    <w:tbl>
      <w:tblPr>
        <w:tblStyle w:val="Grilledutableau"/>
        <w:tblpPr w:leftFromText="180" w:rightFromText="180" w:vertAnchor="text" w:horzAnchor="page" w:tblpX="316" w:tblpY="335"/>
        <w:tblOverlap w:val="never"/>
        <w:tblW w:w="0" w:type="auto"/>
        <w:tblLook w:val="04A0" w:firstRow="1" w:lastRow="0" w:firstColumn="1" w:lastColumn="0" w:noHBand="0" w:noVBand="1"/>
      </w:tblPr>
      <w:tblGrid>
        <w:gridCol w:w="1843"/>
        <w:gridCol w:w="3261"/>
      </w:tblGrid>
      <w:tr w:rsidR="00F807D7" w:rsidRPr="004D6816" w14:paraId="5AB78B5F" w14:textId="77777777" w:rsidTr="00B53146">
        <w:tc>
          <w:tcPr>
            <w:tcW w:w="1843" w:type="dxa"/>
          </w:tcPr>
          <w:p w14:paraId="09AF4A0E" w14:textId="77777777" w:rsidR="00F807D7" w:rsidRPr="004D6816" w:rsidRDefault="00F807D7" w:rsidP="00B53146">
            <w:pPr>
              <w:spacing w:line="276" w:lineRule="auto"/>
              <w:rPr>
                <w:rFonts w:ascii="Trebuchet MS" w:hAnsi="Trebuchet MS"/>
                <w:b/>
                <w:bCs/>
                <w:lang w:val="fr-BJ"/>
              </w:rPr>
            </w:pPr>
            <w:r w:rsidRPr="004D6816">
              <w:rPr>
                <w:rFonts w:ascii="Trebuchet MS" w:hAnsi="Trebuchet MS"/>
                <w:b/>
                <w:bCs/>
                <w:lang w:val="fr-BJ"/>
              </w:rPr>
              <w:t>Localisation :</w:t>
            </w:r>
          </w:p>
        </w:tc>
        <w:tc>
          <w:tcPr>
            <w:tcW w:w="3261" w:type="dxa"/>
          </w:tcPr>
          <w:p w14:paraId="24B8A5A6" w14:textId="77777777" w:rsidR="00F807D7" w:rsidRPr="004D6816" w:rsidRDefault="00F807D7" w:rsidP="00B53146">
            <w:pPr>
              <w:spacing w:after="160" w:line="276" w:lineRule="auto"/>
              <w:rPr>
                <w:rFonts w:ascii="Trebuchet MS" w:hAnsi="Trebuchet MS"/>
                <w:lang w:val="fr-BJ"/>
              </w:rPr>
            </w:pPr>
            <w:r w:rsidRPr="004D6816">
              <w:rPr>
                <w:rFonts w:ascii="Trebuchet MS" w:hAnsi="Trebuchet MS"/>
                <w:lang w:val="fr-BJ"/>
              </w:rPr>
              <w:t>Nord-Ouest du Bénin (Département de l’</w:t>
            </w:r>
            <w:proofErr w:type="spellStart"/>
            <w:r w:rsidRPr="004D6816">
              <w:rPr>
                <w:rFonts w:ascii="Trebuchet MS" w:hAnsi="Trebuchet MS"/>
                <w:lang w:val="fr-BJ"/>
              </w:rPr>
              <w:t>Atacora</w:t>
            </w:r>
            <w:proofErr w:type="spellEnd"/>
            <w:r w:rsidRPr="004D6816">
              <w:rPr>
                <w:rFonts w:ascii="Trebuchet MS" w:hAnsi="Trebuchet MS"/>
                <w:lang w:val="fr-BJ"/>
              </w:rPr>
              <w:t>), commune intermédiaire (Décret n°2022-320 du 1er juin 2022).</w:t>
            </w:r>
          </w:p>
        </w:tc>
      </w:tr>
      <w:tr w:rsidR="00F807D7" w:rsidRPr="004D6816" w14:paraId="14A1A4F0" w14:textId="77777777" w:rsidTr="00B53146">
        <w:trPr>
          <w:trHeight w:val="228"/>
        </w:trPr>
        <w:tc>
          <w:tcPr>
            <w:tcW w:w="1843" w:type="dxa"/>
          </w:tcPr>
          <w:p w14:paraId="4E6AB2F2" w14:textId="77777777" w:rsidR="00F807D7" w:rsidRPr="004D6816" w:rsidRDefault="00F807D7" w:rsidP="00B53146">
            <w:pPr>
              <w:spacing w:line="276" w:lineRule="auto"/>
              <w:rPr>
                <w:rFonts w:ascii="Trebuchet MS" w:hAnsi="Trebuchet MS"/>
                <w:lang w:val="fr-BJ"/>
              </w:rPr>
            </w:pPr>
            <w:r w:rsidRPr="004D6816">
              <w:rPr>
                <w:rFonts w:ascii="Trebuchet MS" w:hAnsi="Trebuchet MS"/>
                <w:b/>
                <w:bCs/>
                <w:lang w:val="fr-BJ"/>
              </w:rPr>
              <w:t>Limites territoriales :</w:t>
            </w:r>
          </w:p>
        </w:tc>
        <w:tc>
          <w:tcPr>
            <w:tcW w:w="3261" w:type="dxa"/>
          </w:tcPr>
          <w:p w14:paraId="6E5FDC48" w14:textId="77777777" w:rsidR="00F807D7" w:rsidRPr="004D6816" w:rsidRDefault="00F807D7" w:rsidP="00B53146">
            <w:pPr>
              <w:numPr>
                <w:ilvl w:val="1"/>
                <w:numId w:val="6"/>
              </w:numPr>
              <w:tabs>
                <w:tab w:val="clear" w:pos="1440"/>
              </w:tabs>
              <w:spacing w:line="276" w:lineRule="auto"/>
              <w:ind w:left="341"/>
              <w:rPr>
                <w:rFonts w:ascii="Trebuchet MS" w:hAnsi="Trebuchet MS"/>
                <w:lang w:val="fr-BJ"/>
              </w:rPr>
            </w:pPr>
            <w:r w:rsidRPr="004D6816">
              <w:rPr>
                <w:rFonts w:ascii="Trebuchet MS" w:hAnsi="Trebuchet MS"/>
                <w:lang w:val="fr-BJ"/>
              </w:rPr>
              <w:t xml:space="preserve">Nord : </w:t>
            </w:r>
            <w:proofErr w:type="spellStart"/>
            <w:r w:rsidRPr="004D6816">
              <w:rPr>
                <w:rFonts w:ascii="Trebuchet MS" w:hAnsi="Trebuchet MS"/>
                <w:lang w:val="fr-BJ"/>
              </w:rPr>
              <w:t>Toucountouna</w:t>
            </w:r>
            <w:proofErr w:type="spellEnd"/>
          </w:p>
          <w:p w14:paraId="6E92A559" w14:textId="77777777" w:rsidR="00F807D7" w:rsidRPr="004D6816" w:rsidRDefault="00F807D7" w:rsidP="00B53146">
            <w:pPr>
              <w:numPr>
                <w:ilvl w:val="1"/>
                <w:numId w:val="6"/>
              </w:numPr>
              <w:tabs>
                <w:tab w:val="clear" w:pos="1440"/>
              </w:tabs>
              <w:spacing w:line="276" w:lineRule="auto"/>
              <w:ind w:left="341"/>
              <w:rPr>
                <w:rFonts w:ascii="Trebuchet MS" w:hAnsi="Trebuchet MS"/>
                <w:lang w:val="fr-BJ"/>
              </w:rPr>
            </w:pPr>
            <w:r w:rsidRPr="004D6816">
              <w:rPr>
                <w:rFonts w:ascii="Trebuchet MS" w:hAnsi="Trebuchet MS"/>
                <w:lang w:val="fr-BJ"/>
              </w:rPr>
              <w:t xml:space="preserve">Est/Sud-Est : </w:t>
            </w:r>
            <w:proofErr w:type="spellStart"/>
            <w:r w:rsidRPr="004D6816">
              <w:rPr>
                <w:rFonts w:ascii="Trebuchet MS" w:hAnsi="Trebuchet MS"/>
                <w:lang w:val="fr-BJ"/>
              </w:rPr>
              <w:t>Kouandé</w:t>
            </w:r>
            <w:proofErr w:type="spellEnd"/>
          </w:p>
          <w:p w14:paraId="0ADE3674" w14:textId="77777777" w:rsidR="00F807D7" w:rsidRPr="004D6816" w:rsidRDefault="00F807D7" w:rsidP="00B53146">
            <w:pPr>
              <w:numPr>
                <w:ilvl w:val="1"/>
                <w:numId w:val="6"/>
              </w:numPr>
              <w:tabs>
                <w:tab w:val="clear" w:pos="1440"/>
              </w:tabs>
              <w:spacing w:line="276" w:lineRule="auto"/>
              <w:ind w:left="341"/>
              <w:rPr>
                <w:rFonts w:ascii="Trebuchet MS" w:hAnsi="Trebuchet MS"/>
                <w:lang w:val="fr-BJ"/>
              </w:rPr>
            </w:pPr>
            <w:r w:rsidRPr="004D6816">
              <w:rPr>
                <w:rFonts w:ascii="Trebuchet MS" w:hAnsi="Trebuchet MS"/>
                <w:lang w:val="fr-BJ"/>
              </w:rPr>
              <w:t xml:space="preserve">Sud-Ouest : Togo &amp; </w:t>
            </w:r>
            <w:proofErr w:type="spellStart"/>
            <w:r w:rsidRPr="004D6816">
              <w:rPr>
                <w:rFonts w:ascii="Trebuchet MS" w:hAnsi="Trebuchet MS"/>
                <w:lang w:val="fr-BJ"/>
              </w:rPr>
              <w:t>Copargo</w:t>
            </w:r>
            <w:proofErr w:type="spellEnd"/>
          </w:p>
          <w:p w14:paraId="09DBC202" w14:textId="77777777" w:rsidR="00F807D7" w:rsidRPr="004D6816" w:rsidRDefault="00F807D7" w:rsidP="00B53146">
            <w:pPr>
              <w:numPr>
                <w:ilvl w:val="1"/>
                <w:numId w:val="6"/>
              </w:numPr>
              <w:tabs>
                <w:tab w:val="clear" w:pos="1440"/>
              </w:tabs>
              <w:spacing w:line="276" w:lineRule="auto"/>
              <w:ind w:left="341"/>
              <w:rPr>
                <w:rFonts w:ascii="Trebuchet MS" w:hAnsi="Trebuchet MS"/>
                <w:lang w:val="fr-BJ"/>
              </w:rPr>
            </w:pPr>
            <w:r w:rsidRPr="004D6816">
              <w:rPr>
                <w:rFonts w:ascii="Trebuchet MS" w:hAnsi="Trebuchet MS"/>
                <w:lang w:val="fr-BJ"/>
              </w:rPr>
              <w:t xml:space="preserve">Ouest : </w:t>
            </w:r>
            <w:proofErr w:type="spellStart"/>
            <w:r w:rsidRPr="004D6816">
              <w:rPr>
                <w:rFonts w:ascii="Trebuchet MS" w:hAnsi="Trebuchet MS"/>
                <w:lang w:val="fr-BJ"/>
              </w:rPr>
              <w:t>Boukombé</w:t>
            </w:r>
            <w:proofErr w:type="spellEnd"/>
          </w:p>
          <w:p w14:paraId="4EAE6D3D" w14:textId="77777777" w:rsidR="00F807D7" w:rsidRPr="004D6816" w:rsidRDefault="00F807D7" w:rsidP="00B53146">
            <w:pPr>
              <w:spacing w:line="276" w:lineRule="auto"/>
              <w:rPr>
                <w:rFonts w:ascii="Trebuchet MS" w:hAnsi="Trebuchet MS"/>
                <w:b/>
                <w:bCs/>
                <w:lang w:val="fr-BJ"/>
              </w:rPr>
            </w:pPr>
          </w:p>
        </w:tc>
      </w:tr>
      <w:tr w:rsidR="00F807D7" w:rsidRPr="004D6816" w14:paraId="2CDE1055" w14:textId="77777777" w:rsidTr="00B53146">
        <w:tc>
          <w:tcPr>
            <w:tcW w:w="1843" w:type="dxa"/>
          </w:tcPr>
          <w:p w14:paraId="1841549F" w14:textId="77777777" w:rsidR="00F807D7" w:rsidRPr="004D6816" w:rsidRDefault="00F807D7" w:rsidP="00B53146">
            <w:pPr>
              <w:spacing w:line="276" w:lineRule="auto"/>
              <w:rPr>
                <w:rFonts w:ascii="Trebuchet MS" w:hAnsi="Trebuchet MS"/>
                <w:b/>
                <w:bCs/>
                <w:lang w:val="fr-BJ"/>
              </w:rPr>
            </w:pPr>
            <w:r w:rsidRPr="004D6816">
              <w:rPr>
                <w:rFonts w:ascii="Trebuchet MS" w:hAnsi="Trebuchet MS"/>
                <w:b/>
                <w:bCs/>
                <w:lang w:val="fr-BJ"/>
              </w:rPr>
              <w:t xml:space="preserve">Superficie : </w:t>
            </w:r>
          </w:p>
        </w:tc>
        <w:tc>
          <w:tcPr>
            <w:tcW w:w="3261" w:type="dxa"/>
          </w:tcPr>
          <w:p w14:paraId="1D580B8A" w14:textId="77777777" w:rsidR="00F807D7" w:rsidRPr="004D6816" w:rsidRDefault="00F807D7" w:rsidP="00B53146">
            <w:pPr>
              <w:numPr>
                <w:ilvl w:val="0"/>
                <w:numId w:val="6"/>
              </w:numPr>
              <w:tabs>
                <w:tab w:val="clear" w:pos="720"/>
                <w:tab w:val="num" w:pos="171"/>
              </w:tabs>
              <w:spacing w:line="276" w:lineRule="auto"/>
              <w:ind w:left="171" w:hanging="171"/>
              <w:rPr>
                <w:rFonts w:ascii="Trebuchet MS" w:hAnsi="Trebuchet MS"/>
                <w:lang w:val="fr-BJ"/>
              </w:rPr>
            </w:pPr>
            <w:r w:rsidRPr="004D6816">
              <w:rPr>
                <w:rFonts w:ascii="Trebuchet MS" w:hAnsi="Trebuchet MS"/>
                <w:lang w:val="fr-BJ"/>
              </w:rPr>
              <w:t>3 045 km² (12,8 % de l’</w:t>
            </w:r>
            <w:proofErr w:type="spellStart"/>
            <w:r w:rsidRPr="004D6816">
              <w:rPr>
                <w:rFonts w:ascii="Trebuchet MS" w:hAnsi="Trebuchet MS"/>
                <w:lang w:val="fr-BJ"/>
              </w:rPr>
              <w:t>Atacora</w:t>
            </w:r>
            <w:proofErr w:type="spellEnd"/>
            <w:r w:rsidRPr="004D6816">
              <w:rPr>
                <w:rFonts w:ascii="Trebuchet MS" w:hAnsi="Trebuchet MS"/>
                <w:lang w:val="fr-BJ"/>
              </w:rPr>
              <w:t>)</w:t>
            </w:r>
          </w:p>
          <w:p w14:paraId="55BF7450" w14:textId="77777777" w:rsidR="00F807D7" w:rsidRPr="004D6816" w:rsidRDefault="00F807D7" w:rsidP="00B53146">
            <w:pPr>
              <w:spacing w:line="276" w:lineRule="auto"/>
              <w:rPr>
                <w:rFonts w:ascii="Trebuchet MS" w:hAnsi="Trebuchet MS"/>
                <w:b/>
                <w:bCs/>
                <w:lang w:val="fr-BJ"/>
              </w:rPr>
            </w:pPr>
          </w:p>
        </w:tc>
      </w:tr>
      <w:tr w:rsidR="00F807D7" w:rsidRPr="004D6816" w14:paraId="7191B1D1" w14:textId="77777777" w:rsidTr="00B53146">
        <w:tc>
          <w:tcPr>
            <w:tcW w:w="1843" w:type="dxa"/>
          </w:tcPr>
          <w:p w14:paraId="5E255C9A" w14:textId="77777777" w:rsidR="00F807D7" w:rsidRPr="004D6816" w:rsidRDefault="00F807D7" w:rsidP="00B53146">
            <w:pPr>
              <w:spacing w:line="276" w:lineRule="auto"/>
              <w:rPr>
                <w:rFonts w:ascii="Trebuchet MS" w:hAnsi="Trebuchet MS"/>
                <w:b/>
                <w:bCs/>
                <w:lang w:val="fr-BJ"/>
              </w:rPr>
            </w:pPr>
            <w:r w:rsidRPr="004D6816">
              <w:rPr>
                <w:rFonts w:ascii="Trebuchet MS" w:hAnsi="Trebuchet MS"/>
                <w:b/>
                <w:bCs/>
                <w:lang w:val="fr-BJ"/>
              </w:rPr>
              <w:t>Subdivision :</w:t>
            </w:r>
          </w:p>
        </w:tc>
        <w:tc>
          <w:tcPr>
            <w:tcW w:w="3261" w:type="dxa"/>
          </w:tcPr>
          <w:p w14:paraId="5A5E63F9" w14:textId="77777777" w:rsidR="00F807D7" w:rsidRPr="004D6816" w:rsidRDefault="00F807D7" w:rsidP="00B53146">
            <w:pPr>
              <w:numPr>
                <w:ilvl w:val="0"/>
                <w:numId w:val="6"/>
              </w:numPr>
              <w:tabs>
                <w:tab w:val="clear" w:pos="720"/>
                <w:tab w:val="num" w:pos="360"/>
              </w:tabs>
              <w:spacing w:line="276" w:lineRule="auto"/>
              <w:ind w:left="171" w:hanging="171"/>
              <w:rPr>
                <w:rFonts w:ascii="Trebuchet MS" w:hAnsi="Trebuchet MS"/>
                <w:lang w:val="fr-BJ"/>
              </w:rPr>
            </w:pPr>
            <w:r w:rsidRPr="004D6816">
              <w:rPr>
                <w:rFonts w:ascii="Trebuchet MS" w:hAnsi="Trebuchet MS"/>
                <w:lang w:val="fr-BJ"/>
              </w:rPr>
              <w:t>9 arrondissements (3 urbains, 6 ruraux), 76 villages/ quartiers</w:t>
            </w:r>
          </w:p>
          <w:p w14:paraId="722E341A" w14:textId="77777777" w:rsidR="00F807D7" w:rsidRPr="004D6816" w:rsidRDefault="00F807D7" w:rsidP="00B53146">
            <w:pPr>
              <w:spacing w:line="276" w:lineRule="auto"/>
              <w:rPr>
                <w:rFonts w:ascii="Trebuchet MS" w:hAnsi="Trebuchet MS"/>
                <w:b/>
                <w:bCs/>
                <w:lang w:val="fr-BJ"/>
              </w:rPr>
            </w:pPr>
          </w:p>
        </w:tc>
      </w:tr>
      <w:tr w:rsidR="00F807D7" w:rsidRPr="004D6816" w14:paraId="4E05CBD8" w14:textId="77777777" w:rsidTr="00B53146">
        <w:tc>
          <w:tcPr>
            <w:tcW w:w="1843" w:type="dxa"/>
          </w:tcPr>
          <w:p w14:paraId="7D5FA02C" w14:textId="77777777" w:rsidR="00F807D7" w:rsidRPr="004D6816" w:rsidRDefault="00F807D7" w:rsidP="00B53146">
            <w:pPr>
              <w:spacing w:line="276" w:lineRule="auto"/>
              <w:rPr>
                <w:rFonts w:ascii="Trebuchet MS" w:hAnsi="Trebuchet MS"/>
                <w:b/>
                <w:bCs/>
                <w:lang w:val="fr-BJ"/>
              </w:rPr>
            </w:pPr>
            <w:r w:rsidRPr="004D6816">
              <w:rPr>
                <w:rFonts w:ascii="Trebuchet MS" w:hAnsi="Trebuchet MS"/>
                <w:b/>
                <w:bCs/>
                <w:lang w:val="fr-BJ"/>
              </w:rPr>
              <w:t>Population projetée en 2028 :</w:t>
            </w:r>
          </w:p>
        </w:tc>
        <w:tc>
          <w:tcPr>
            <w:tcW w:w="3261" w:type="dxa"/>
          </w:tcPr>
          <w:p w14:paraId="5890C4EC" w14:textId="77777777" w:rsidR="00F807D7" w:rsidRPr="004D6816" w:rsidRDefault="00F807D7" w:rsidP="00B53146">
            <w:pPr>
              <w:numPr>
                <w:ilvl w:val="0"/>
                <w:numId w:val="6"/>
              </w:numPr>
              <w:spacing w:line="276" w:lineRule="auto"/>
              <w:rPr>
                <w:rFonts w:ascii="Trebuchet MS" w:hAnsi="Trebuchet MS"/>
                <w:lang w:val="fr-BJ"/>
              </w:rPr>
            </w:pPr>
            <w:r w:rsidRPr="004D6816">
              <w:rPr>
                <w:rFonts w:ascii="Trebuchet MS" w:hAnsi="Trebuchet MS"/>
                <w:lang w:val="fr-BJ"/>
              </w:rPr>
              <w:t>173 776 habitants (50 % &lt; 15 ans), densité : 78 hab./km²</w:t>
            </w:r>
          </w:p>
          <w:p w14:paraId="44DF8533" w14:textId="77777777" w:rsidR="00F807D7" w:rsidRPr="004D6816" w:rsidRDefault="00F807D7" w:rsidP="00B53146">
            <w:pPr>
              <w:spacing w:line="276" w:lineRule="auto"/>
              <w:rPr>
                <w:rFonts w:ascii="Trebuchet MS" w:hAnsi="Trebuchet MS"/>
                <w:b/>
                <w:bCs/>
                <w:lang w:val="fr-BJ"/>
              </w:rPr>
            </w:pPr>
            <w:r w:rsidRPr="004D6816">
              <w:rPr>
                <w:rFonts w:ascii="Trebuchet MS" w:hAnsi="Trebuchet MS"/>
                <w:b/>
                <w:bCs/>
                <w:lang w:val="fr-BJ"/>
              </w:rPr>
              <w:t xml:space="preserve"> </w:t>
            </w:r>
          </w:p>
        </w:tc>
      </w:tr>
      <w:tr w:rsidR="00F807D7" w:rsidRPr="004D6816" w14:paraId="5CB9E219" w14:textId="77777777" w:rsidTr="00B53146">
        <w:tc>
          <w:tcPr>
            <w:tcW w:w="1843" w:type="dxa"/>
          </w:tcPr>
          <w:p w14:paraId="4F6A00E6" w14:textId="77777777" w:rsidR="00F807D7" w:rsidRPr="004D6816" w:rsidRDefault="00F807D7" w:rsidP="00B53146">
            <w:pPr>
              <w:spacing w:line="276" w:lineRule="auto"/>
              <w:rPr>
                <w:rFonts w:ascii="Trebuchet MS" w:hAnsi="Trebuchet MS"/>
                <w:b/>
                <w:bCs/>
                <w:lang w:val="fr-BJ"/>
              </w:rPr>
            </w:pPr>
            <w:r w:rsidRPr="004D6816">
              <w:rPr>
                <w:rFonts w:ascii="Trebuchet MS" w:hAnsi="Trebuchet MS"/>
                <w:b/>
                <w:bCs/>
                <w:lang w:val="fr-BJ"/>
              </w:rPr>
              <w:t>Économie locale :</w:t>
            </w:r>
            <w:r w:rsidRPr="004D6816">
              <w:rPr>
                <w:rFonts w:ascii="Trebuchet MS" w:hAnsi="Trebuchet MS"/>
                <w:lang w:val="fr-BJ"/>
              </w:rPr>
              <w:t xml:space="preserve">  </w:t>
            </w:r>
          </w:p>
        </w:tc>
        <w:tc>
          <w:tcPr>
            <w:tcW w:w="3261" w:type="dxa"/>
          </w:tcPr>
          <w:p w14:paraId="30B152D2" w14:textId="77777777" w:rsidR="00F807D7" w:rsidRPr="004D6816" w:rsidRDefault="00F807D7" w:rsidP="00B53146">
            <w:pPr>
              <w:numPr>
                <w:ilvl w:val="0"/>
                <w:numId w:val="6"/>
              </w:numPr>
              <w:tabs>
                <w:tab w:val="clear" w:pos="720"/>
                <w:tab w:val="num" w:pos="171"/>
              </w:tabs>
              <w:spacing w:line="276" w:lineRule="auto"/>
              <w:ind w:left="29" w:hanging="29"/>
              <w:rPr>
                <w:rFonts w:ascii="Trebuchet MS" w:hAnsi="Trebuchet MS"/>
                <w:lang w:val="fr-BJ"/>
              </w:rPr>
            </w:pPr>
            <w:r w:rsidRPr="004D6816">
              <w:rPr>
                <w:rFonts w:ascii="Trebuchet MS" w:hAnsi="Trebuchet MS"/>
                <w:lang w:val="fr-BJ"/>
              </w:rPr>
              <w:t xml:space="preserve">Faiblement industrialisée ; </w:t>
            </w:r>
          </w:p>
          <w:p w14:paraId="1DC2FEE9" w14:textId="77777777" w:rsidR="00F807D7" w:rsidRPr="00F16622" w:rsidRDefault="00F807D7" w:rsidP="00B53146">
            <w:pPr>
              <w:tabs>
                <w:tab w:val="num" w:pos="1440"/>
              </w:tabs>
              <w:spacing w:before="240" w:line="276" w:lineRule="auto"/>
              <w:rPr>
                <w:rFonts w:ascii="Trebuchet MS" w:hAnsi="Trebuchet MS"/>
                <w:lang w:val="fr-BJ"/>
              </w:rPr>
            </w:pPr>
            <w:r w:rsidRPr="004D6816">
              <w:rPr>
                <w:rFonts w:ascii="Trebuchet MS" w:hAnsi="Trebuchet MS"/>
                <w:lang w:val="fr-BJ"/>
              </w:rPr>
              <w:t>Activités dominantes : Agriculture, Orpaillage, Élevage, Commerce, Services.</w:t>
            </w:r>
          </w:p>
        </w:tc>
      </w:tr>
      <w:tr w:rsidR="00F807D7" w:rsidRPr="004D6816" w14:paraId="008772BC" w14:textId="77777777" w:rsidTr="00B53146">
        <w:tc>
          <w:tcPr>
            <w:tcW w:w="1843" w:type="dxa"/>
          </w:tcPr>
          <w:p w14:paraId="6223AE6C" w14:textId="77777777" w:rsidR="00F807D7" w:rsidRPr="004D6816" w:rsidRDefault="00F807D7" w:rsidP="00B53146">
            <w:pPr>
              <w:spacing w:line="276" w:lineRule="auto"/>
              <w:rPr>
                <w:rFonts w:ascii="Trebuchet MS" w:hAnsi="Trebuchet MS"/>
                <w:b/>
                <w:bCs/>
                <w:lang w:val="fr-BJ"/>
              </w:rPr>
            </w:pPr>
            <w:r w:rsidRPr="004D6816">
              <w:rPr>
                <w:rFonts w:ascii="Trebuchet MS" w:hAnsi="Trebuchet MS"/>
                <w:b/>
                <w:bCs/>
                <w:lang w:val="fr-BJ"/>
              </w:rPr>
              <w:t xml:space="preserve">Accessibilité : </w:t>
            </w:r>
          </w:p>
        </w:tc>
        <w:tc>
          <w:tcPr>
            <w:tcW w:w="3261" w:type="dxa"/>
          </w:tcPr>
          <w:p w14:paraId="0DE7612B" w14:textId="77777777" w:rsidR="00F807D7" w:rsidRPr="004D6816" w:rsidRDefault="00F807D7" w:rsidP="00B53146">
            <w:pPr>
              <w:pStyle w:val="Paragraphedeliste"/>
              <w:numPr>
                <w:ilvl w:val="0"/>
                <w:numId w:val="8"/>
              </w:numPr>
              <w:spacing w:line="276" w:lineRule="auto"/>
              <w:ind w:left="171" w:hanging="171"/>
              <w:rPr>
                <w:rFonts w:ascii="Trebuchet MS" w:hAnsi="Trebuchet MS"/>
                <w:b/>
                <w:bCs/>
                <w:lang w:val="fr-BJ"/>
              </w:rPr>
            </w:pPr>
            <w:r w:rsidRPr="004D6816">
              <w:rPr>
                <w:rFonts w:ascii="Trebuchet MS" w:hAnsi="Trebuchet MS"/>
                <w:lang w:val="fr-BJ"/>
              </w:rPr>
              <w:t xml:space="preserve">Par RNIE 3 et aérodrome de </w:t>
            </w:r>
            <w:proofErr w:type="spellStart"/>
            <w:r w:rsidRPr="004D6816">
              <w:rPr>
                <w:rFonts w:ascii="Trebuchet MS" w:hAnsi="Trebuchet MS"/>
                <w:lang w:val="fr-BJ"/>
              </w:rPr>
              <w:t>Koudengou</w:t>
            </w:r>
            <w:proofErr w:type="spellEnd"/>
            <w:r w:rsidRPr="004D6816">
              <w:rPr>
                <w:rFonts w:ascii="Trebuchet MS" w:hAnsi="Trebuchet MS"/>
                <w:lang w:val="fr-BJ"/>
              </w:rPr>
              <w:t xml:space="preserve"> (arr. </w:t>
            </w:r>
            <w:proofErr w:type="spellStart"/>
            <w:r w:rsidRPr="004D6816">
              <w:rPr>
                <w:rFonts w:ascii="Trebuchet MS" w:hAnsi="Trebuchet MS"/>
                <w:lang w:val="fr-BJ"/>
              </w:rPr>
              <w:t>Pèporiyakou</w:t>
            </w:r>
            <w:proofErr w:type="spellEnd"/>
            <w:r w:rsidRPr="004D6816">
              <w:rPr>
                <w:rFonts w:ascii="Trebuchet MS" w:hAnsi="Trebuchet MS"/>
                <w:lang w:val="fr-BJ"/>
              </w:rPr>
              <w:t xml:space="preserve">) </w:t>
            </w:r>
          </w:p>
        </w:tc>
      </w:tr>
    </w:tbl>
    <w:p w14:paraId="67494E0B" w14:textId="77777777" w:rsidR="00F807D7" w:rsidRDefault="00F807D7" w:rsidP="00F807D7">
      <w:pPr>
        <w:spacing w:after="0"/>
        <w:rPr>
          <w:rFonts w:ascii="Trebuchet MS" w:hAnsi="Trebuchet MS"/>
        </w:rPr>
      </w:pPr>
      <w:r>
        <w:rPr>
          <w:noProof/>
          <w:lang w:eastAsia="fr-FR"/>
        </w:rPr>
        <w:drawing>
          <wp:anchor distT="0" distB="0" distL="114300" distR="114300" simplePos="0" relativeHeight="251666432" behindDoc="0" locked="0" layoutInCell="1" allowOverlap="1" wp14:anchorId="7026043D" wp14:editId="7D7D87A5">
            <wp:simplePos x="0" y="0"/>
            <wp:positionH relativeFrom="margin">
              <wp:posOffset>2661920</wp:posOffset>
            </wp:positionH>
            <wp:positionV relativeFrom="margin">
              <wp:posOffset>1887764</wp:posOffset>
            </wp:positionV>
            <wp:extent cx="3876675" cy="5888990"/>
            <wp:effectExtent l="0" t="0" r="9525" b="0"/>
            <wp:wrapSquare wrapText="bothSides"/>
            <wp:docPr id="1233025895" name="Image 1233025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76675" cy="58889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43DB3C" w14:textId="77777777" w:rsidR="00F807D7" w:rsidRDefault="00F807D7" w:rsidP="00F807D7">
      <w:pPr>
        <w:spacing w:line="276" w:lineRule="auto"/>
        <w:jc w:val="both"/>
        <w:rPr>
          <w:rFonts w:ascii="Trebuchet MS" w:hAnsi="Trebuchet MS"/>
        </w:rPr>
      </w:pPr>
      <w:r w:rsidRPr="004D6816">
        <w:rPr>
          <w:rFonts w:ascii="Trebuchet MS" w:hAnsi="Trebuchet MS"/>
        </w:rPr>
        <w:t>Depuis l’adoption de la loi 2021-14 du 20 décembre 2021 portant Code de l’Administration Territoriale, la commune bénéficie d’un nouvel encadrement institutionnel basé sur une réorganisation des structures politiques avec le Conseil Communal et le Conseil de Supervision et une réforme des organes administratifs et techniques, désormais mieux définis et structurés ((Secrétaire Exécutive, DAAF, PRMP,</w:t>
      </w:r>
      <w:r>
        <w:rPr>
          <w:rFonts w:ascii="Trebuchet MS" w:hAnsi="Trebuchet MS"/>
        </w:rPr>
        <w:t xml:space="preserve"> DDLP, DADE, DSI, DST, etc…).</w:t>
      </w:r>
      <w:r w:rsidRPr="004D6816">
        <w:rPr>
          <w:rFonts w:ascii="Trebuchet MS" w:hAnsi="Trebuchet MS"/>
        </w:rPr>
        <w:t xml:space="preserve"> </w:t>
      </w:r>
    </w:p>
    <w:p w14:paraId="003E4692" w14:textId="77777777" w:rsidR="00F807D7" w:rsidRPr="004D6816" w:rsidRDefault="00F807D7" w:rsidP="00F807D7">
      <w:pPr>
        <w:spacing w:line="276" w:lineRule="auto"/>
        <w:jc w:val="both"/>
        <w:rPr>
          <w:rFonts w:ascii="Trebuchet MS" w:hAnsi="Trebuchet MS"/>
        </w:rPr>
      </w:pPr>
      <w:r w:rsidRPr="004D6816">
        <w:rPr>
          <w:rFonts w:ascii="Trebuchet MS" w:hAnsi="Trebuchet MS"/>
        </w:rPr>
        <w:t xml:space="preserve">En tant que </w:t>
      </w:r>
      <w:r w:rsidRPr="004D6816">
        <w:rPr>
          <w:rFonts w:ascii="Trebuchet MS" w:hAnsi="Trebuchet MS"/>
          <w:b/>
          <w:bCs/>
        </w:rPr>
        <w:t>chef-lieu du département de l’</w:t>
      </w:r>
      <w:proofErr w:type="spellStart"/>
      <w:r w:rsidRPr="004D6816">
        <w:rPr>
          <w:rFonts w:ascii="Trebuchet MS" w:hAnsi="Trebuchet MS"/>
          <w:b/>
          <w:bCs/>
        </w:rPr>
        <w:t>Atacora</w:t>
      </w:r>
      <w:proofErr w:type="spellEnd"/>
      <w:r w:rsidRPr="004D6816">
        <w:rPr>
          <w:rFonts w:ascii="Trebuchet MS" w:hAnsi="Trebuchet MS"/>
        </w:rPr>
        <w:t xml:space="preserve">, la </w:t>
      </w:r>
      <w:r w:rsidRPr="004D6816">
        <w:rPr>
          <w:rFonts w:ascii="Trebuchet MS" w:hAnsi="Trebuchet MS"/>
          <w:b/>
          <w:bCs/>
        </w:rPr>
        <w:t>Commune de Natitingou</w:t>
      </w:r>
      <w:r w:rsidRPr="004D6816">
        <w:rPr>
          <w:rFonts w:ascii="Trebuchet MS" w:hAnsi="Trebuchet MS"/>
        </w:rPr>
        <w:t xml:space="preserve"> joue un rôle administratif central dans la région. À ce titre, elle a été classée comme une </w:t>
      </w:r>
      <w:r w:rsidRPr="004D6816">
        <w:rPr>
          <w:rFonts w:ascii="Trebuchet MS" w:hAnsi="Trebuchet MS"/>
          <w:b/>
          <w:bCs/>
        </w:rPr>
        <w:t>Commune intermédiaire</w:t>
      </w:r>
      <w:r w:rsidRPr="004D6816">
        <w:rPr>
          <w:rFonts w:ascii="Trebuchet MS" w:hAnsi="Trebuchet MS"/>
        </w:rPr>
        <w:t xml:space="preserve"> selon le </w:t>
      </w:r>
      <w:r w:rsidRPr="004D6816">
        <w:rPr>
          <w:rFonts w:ascii="Trebuchet MS" w:hAnsi="Trebuchet MS"/>
          <w:b/>
          <w:bCs/>
        </w:rPr>
        <w:t>Décret N° 2022-320 du 1er juin 2022</w:t>
      </w:r>
      <w:r w:rsidRPr="004D6816">
        <w:rPr>
          <w:rFonts w:ascii="Trebuchet MS" w:hAnsi="Trebuchet MS"/>
        </w:rPr>
        <w:t xml:space="preserve"> portant catégorisation des communes du Bénin. Ce statut reflète à la fois son importance régionale, son niveau d’urbanisation, et sa capacité institutionnelle.</w:t>
      </w:r>
    </w:p>
    <w:p w14:paraId="1C171300" w14:textId="77777777" w:rsidR="00F807D7" w:rsidRDefault="00F807D7" w:rsidP="00F16622">
      <w:pPr>
        <w:spacing w:line="276" w:lineRule="auto"/>
        <w:jc w:val="both"/>
        <w:rPr>
          <w:rFonts w:ascii="Trebuchet MS" w:hAnsi="Trebuchet MS"/>
        </w:rPr>
      </w:pPr>
    </w:p>
    <w:p w14:paraId="1A21B611" w14:textId="77777777" w:rsidR="00F807D7" w:rsidRDefault="00F807D7" w:rsidP="00F16622">
      <w:pPr>
        <w:spacing w:line="276" w:lineRule="auto"/>
        <w:jc w:val="both"/>
        <w:rPr>
          <w:rFonts w:ascii="Trebuchet MS" w:hAnsi="Trebuchet MS"/>
        </w:rPr>
      </w:pPr>
    </w:p>
    <w:p w14:paraId="65FC3489" w14:textId="77777777" w:rsidR="00F807D7" w:rsidRDefault="00F807D7" w:rsidP="00F16622">
      <w:pPr>
        <w:spacing w:line="276" w:lineRule="auto"/>
        <w:jc w:val="both"/>
        <w:rPr>
          <w:rFonts w:ascii="Trebuchet MS" w:hAnsi="Trebuchet MS"/>
        </w:rPr>
      </w:pPr>
    </w:p>
    <w:p w14:paraId="485ACAE5" w14:textId="77777777" w:rsidR="00F807D7" w:rsidRPr="004D6816" w:rsidRDefault="00F807D7" w:rsidP="00F16622">
      <w:pPr>
        <w:spacing w:line="276" w:lineRule="auto"/>
        <w:jc w:val="both"/>
        <w:rPr>
          <w:rFonts w:ascii="Trebuchet MS" w:hAnsi="Trebuchet MS"/>
        </w:rPr>
      </w:pPr>
    </w:p>
    <w:p w14:paraId="3A73B803" w14:textId="6167A295" w:rsidR="001663E2" w:rsidRDefault="001663E2" w:rsidP="001663E2">
      <w:pPr>
        <w:pStyle w:val="Titre1"/>
        <w:numPr>
          <w:ilvl w:val="0"/>
          <w:numId w:val="7"/>
        </w:numPr>
        <w:spacing w:before="0" w:line="360" w:lineRule="auto"/>
        <w:ind w:left="709" w:hanging="283"/>
        <w:jc w:val="both"/>
        <w:rPr>
          <w:rFonts w:ascii="Trebuchet MS" w:hAnsi="Trebuchet MS"/>
          <w:sz w:val="24"/>
          <w:szCs w:val="24"/>
        </w:rPr>
      </w:pPr>
      <w:r>
        <w:rPr>
          <w:rFonts w:ascii="Trebuchet MS" w:hAnsi="Trebuchet MS"/>
          <w:sz w:val="24"/>
          <w:szCs w:val="24"/>
        </w:rPr>
        <w:t>Contexte d’élaboration du Plan de Contingence Communal (PCC)</w:t>
      </w:r>
    </w:p>
    <w:p w14:paraId="286FC051" w14:textId="77777777" w:rsidR="001663E2" w:rsidRPr="001663E2" w:rsidRDefault="001663E2" w:rsidP="001663E2">
      <w:pPr>
        <w:pStyle w:val="NormalWeb"/>
        <w:spacing w:before="0" w:beforeAutospacing="0" w:after="0" w:afterAutospacing="0" w:line="276" w:lineRule="auto"/>
        <w:jc w:val="both"/>
        <w:rPr>
          <w:rFonts w:ascii="Trebuchet MS" w:hAnsi="Trebuchet MS"/>
          <w:sz w:val="12"/>
          <w:szCs w:val="12"/>
        </w:rPr>
      </w:pPr>
      <w:r w:rsidRPr="001663E2">
        <w:rPr>
          <w:rFonts w:ascii="Trebuchet MS" w:hAnsi="Trebuchet MS"/>
          <w:sz w:val="22"/>
          <w:szCs w:val="22"/>
        </w:rPr>
        <w:t>Le Bénin, comme de nombreux pays d’Afrique de l’Ouest, subit de plein fouet les impacts des changements climatiques : inondations, sécheresses prolongées, érosion, vagues de chaleur, etc. Ces phénomènes menacent gravement les moyens de subsistance des populations, déstabilisent les secteurs clés (agriculture, eau, santé, infrastructures) et fragilisent l’économie nationale. Le pays est reconnu par le GIEC comme l’une des zones les plus vulnérables aux risques climatiques.</w:t>
      </w:r>
      <w:r>
        <w:rPr>
          <w:rFonts w:ascii="Trebuchet MS" w:hAnsi="Trebuchet MS"/>
          <w:sz w:val="22"/>
          <w:szCs w:val="22"/>
        </w:rPr>
        <w:br/>
      </w:r>
    </w:p>
    <w:p w14:paraId="5804EE23" w14:textId="77777777" w:rsidR="001663E2" w:rsidRDefault="001663E2" w:rsidP="001663E2">
      <w:pPr>
        <w:pStyle w:val="NormalWeb"/>
        <w:spacing w:before="0" w:beforeAutospacing="0" w:after="0" w:afterAutospacing="0" w:line="276" w:lineRule="auto"/>
        <w:jc w:val="both"/>
        <w:rPr>
          <w:rFonts w:ascii="Trebuchet MS" w:hAnsi="Trebuchet MS"/>
          <w:sz w:val="22"/>
          <w:szCs w:val="22"/>
        </w:rPr>
      </w:pPr>
      <w:r w:rsidRPr="001663E2">
        <w:rPr>
          <w:rFonts w:ascii="Trebuchet MS" w:hAnsi="Trebuchet MS"/>
          <w:sz w:val="22"/>
          <w:szCs w:val="22"/>
        </w:rPr>
        <w:t xml:space="preserve">Face à cette situation, la nécessité s’impose de renforcer la résilience des communautés locales à travers des outils de planification adaptés. Le </w:t>
      </w:r>
      <w:r w:rsidRPr="001663E2">
        <w:rPr>
          <w:rStyle w:val="lev"/>
          <w:rFonts w:ascii="Trebuchet MS" w:eastAsiaTheme="majorEastAsia" w:hAnsi="Trebuchet MS"/>
          <w:sz w:val="22"/>
          <w:szCs w:val="22"/>
        </w:rPr>
        <w:t>Plan de Contingence Communale (PCC)</w:t>
      </w:r>
      <w:r w:rsidRPr="001663E2">
        <w:rPr>
          <w:rFonts w:ascii="Trebuchet MS" w:hAnsi="Trebuchet MS"/>
          <w:sz w:val="22"/>
          <w:szCs w:val="22"/>
        </w:rPr>
        <w:t xml:space="preserve"> répond à ce besoin : il permet aux communes de disposer d’un cadre stratégique pour anticiper, organiser et coordonner efficacement les réponses en cas de catastrophes. Élaboré de manière participative, régulièrement actualisé, le PCC définit les scénarios d’urgence, les rôles et responsabilités des acteurs,</w:t>
      </w:r>
      <w:r>
        <w:rPr>
          <w:rFonts w:ascii="Trebuchet MS" w:hAnsi="Trebuchet MS"/>
          <w:sz w:val="22"/>
          <w:szCs w:val="22"/>
        </w:rPr>
        <w:t xml:space="preserve"> ainsi que les ressources à mobiliser. </w:t>
      </w:r>
    </w:p>
    <w:p w14:paraId="7521097E" w14:textId="77777777" w:rsidR="001663E2" w:rsidRPr="001663E2" w:rsidRDefault="001663E2" w:rsidP="001663E2">
      <w:pPr>
        <w:pStyle w:val="NormalWeb"/>
        <w:spacing w:before="0" w:beforeAutospacing="0" w:after="0" w:afterAutospacing="0" w:line="276" w:lineRule="auto"/>
        <w:jc w:val="both"/>
        <w:rPr>
          <w:rFonts w:ascii="Trebuchet MS" w:hAnsi="Trebuchet MS"/>
          <w:sz w:val="14"/>
          <w:szCs w:val="14"/>
        </w:rPr>
      </w:pPr>
    </w:p>
    <w:p w14:paraId="0EB5D7B2" w14:textId="5030A46F" w:rsidR="001663E2" w:rsidRPr="001663E2" w:rsidRDefault="001663E2" w:rsidP="001663E2">
      <w:pPr>
        <w:pStyle w:val="NormalWeb"/>
        <w:spacing w:before="0" w:beforeAutospacing="0" w:line="276" w:lineRule="auto"/>
        <w:jc w:val="both"/>
        <w:rPr>
          <w:rFonts w:ascii="Trebuchet MS" w:hAnsi="Trebuchet MS"/>
          <w:sz w:val="22"/>
          <w:szCs w:val="22"/>
        </w:rPr>
      </w:pPr>
      <w:r w:rsidRPr="001663E2">
        <w:rPr>
          <w:rFonts w:ascii="Trebuchet MS" w:hAnsi="Trebuchet MS"/>
          <w:sz w:val="22"/>
          <w:szCs w:val="22"/>
        </w:rPr>
        <w:t xml:space="preserve">C’est dans cette optique que, grâce à l’appui de la </w:t>
      </w:r>
      <w:r w:rsidRPr="001663E2">
        <w:rPr>
          <w:rStyle w:val="lev"/>
          <w:rFonts w:ascii="Trebuchet MS" w:eastAsiaTheme="majorEastAsia" w:hAnsi="Trebuchet MS"/>
          <w:sz w:val="22"/>
          <w:szCs w:val="22"/>
        </w:rPr>
        <w:t>Coopération Suisse</w:t>
      </w:r>
      <w:r w:rsidRPr="001663E2">
        <w:rPr>
          <w:rFonts w:ascii="Trebuchet MS" w:hAnsi="Trebuchet MS"/>
          <w:sz w:val="22"/>
          <w:szCs w:val="22"/>
        </w:rPr>
        <w:t xml:space="preserve"> et au programme </w:t>
      </w:r>
      <w:r w:rsidRPr="001663E2">
        <w:rPr>
          <w:rStyle w:val="lev"/>
          <w:rFonts w:ascii="Trebuchet MS" w:eastAsiaTheme="majorEastAsia" w:hAnsi="Trebuchet MS"/>
          <w:sz w:val="22"/>
          <w:szCs w:val="22"/>
        </w:rPr>
        <w:t>AGORA</w:t>
      </w:r>
      <w:r w:rsidRPr="001663E2">
        <w:rPr>
          <w:rFonts w:ascii="Trebuchet MS" w:hAnsi="Trebuchet MS"/>
          <w:sz w:val="22"/>
          <w:szCs w:val="22"/>
        </w:rPr>
        <w:t xml:space="preserve"> (Appui à la Gouvernance locale et au Renforcement de l’Attractivité territoriale), l’</w:t>
      </w:r>
      <w:r w:rsidRPr="001663E2">
        <w:rPr>
          <w:rStyle w:val="lev"/>
          <w:rFonts w:ascii="Trebuchet MS" w:eastAsiaTheme="majorEastAsia" w:hAnsi="Trebuchet MS"/>
          <w:sz w:val="22"/>
          <w:szCs w:val="22"/>
        </w:rPr>
        <w:t>ACAD</w:t>
      </w:r>
      <w:r w:rsidRPr="001663E2">
        <w:rPr>
          <w:rFonts w:ascii="Trebuchet MS" w:hAnsi="Trebuchet MS"/>
          <w:sz w:val="22"/>
          <w:szCs w:val="22"/>
        </w:rPr>
        <w:t xml:space="preserve"> accompagne certaines communes très exposées, dont </w:t>
      </w:r>
      <w:r w:rsidRPr="001663E2">
        <w:rPr>
          <w:rStyle w:val="lev"/>
          <w:rFonts w:ascii="Trebuchet MS" w:eastAsiaTheme="majorEastAsia" w:hAnsi="Trebuchet MS"/>
          <w:sz w:val="22"/>
          <w:szCs w:val="22"/>
        </w:rPr>
        <w:t>Natitingou</w:t>
      </w:r>
      <w:r w:rsidRPr="001663E2">
        <w:rPr>
          <w:rFonts w:ascii="Trebuchet MS" w:hAnsi="Trebuchet MS"/>
          <w:sz w:val="22"/>
          <w:szCs w:val="22"/>
        </w:rPr>
        <w:t xml:space="preserve">, dans l’élaboration de leur PCC. Ce programme vise à </w:t>
      </w:r>
      <w:r w:rsidRPr="001663E2">
        <w:rPr>
          <w:rFonts w:ascii="Trebuchet MS" w:hAnsi="Trebuchet MS"/>
          <w:sz w:val="22"/>
          <w:szCs w:val="22"/>
          <w:lang w:val="fr-FR"/>
        </w:rPr>
        <w:t xml:space="preserve">prévenir les catastrophes et minimiser leur impact en dotant les collectivités locales d’outils concrets pour planifier et gérer les risques climatiques de façon proactive et efficace. </w:t>
      </w:r>
    </w:p>
    <w:p w14:paraId="3FF65BC4" w14:textId="3714F7D0" w:rsidR="004D6816" w:rsidRPr="004D6816" w:rsidRDefault="004D6816" w:rsidP="00F16622">
      <w:pPr>
        <w:pStyle w:val="Titre1"/>
        <w:numPr>
          <w:ilvl w:val="0"/>
          <w:numId w:val="7"/>
        </w:numPr>
        <w:spacing w:before="0" w:line="360" w:lineRule="auto"/>
        <w:jc w:val="both"/>
        <w:rPr>
          <w:rFonts w:ascii="Trebuchet MS" w:hAnsi="Trebuchet MS"/>
          <w:sz w:val="24"/>
          <w:szCs w:val="24"/>
        </w:rPr>
      </w:pPr>
      <w:r w:rsidRPr="004D6816">
        <w:rPr>
          <w:rFonts w:ascii="Trebuchet MS" w:hAnsi="Trebuchet MS"/>
          <w:sz w:val="24"/>
          <w:szCs w:val="24"/>
        </w:rPr>
        <w:t>Méthodologie d’élaboration</w:t>
      </w:r>
    </w:p>
    <w:p w14:paraId="336D9889" w14:textId="77777777" w:rsidR="004D6816" w:rsidRPr="004D6816" w:rsidRDefault="004D6816" w:rsidP="004D6816">
      <w:pPr>
        <w:spacing w:after="120" w:line="276" w:lineRule="auto"/>
        <w:jc w:val="both"/>
        <w:rPr>
          <w:rFonts w:ascii="Trebuchet MS" w:hAnsi="Trebuchet MS"/>
        </w:rPr>
      </w:pPr>
      <w:r w:rsidRPr="004D6816">
        <w:rPr>
          <w:rFonts w:ascii="Trebuchet MS" w:hAnsi="Trebuchet MS"/>
        </w:rPr>
        <w:t>Le processus d’élaboration du PCC de Natitingou a été conduit selon une approche participative, inclusive et progressive, conformément au guide actualisé de l’ANPC d’août 2021. Il a débuté par un cadrage méthodologique entre l’ACAD, l’ANPC et les bureaux d'études, suivi de lancements officiels au niveau départemental et communal. Les membres de la Plateforme Communale de Réduction des Risques de Catastrophes (PCRRC) ont été formés aux concepts clés du PCC et à leur rôle dans le processus.</w:t>
      </w:r>
    </w:p>
    <w:p w14:paraId="0E819F15" w14:textId="77777777" w:rsidR="004D6816" w:rsidRPr="004D6816" w:rsidRDefault="004D6816" w:rsidP="004D6816">
      <w:pPr>
        <w:spacing w:after="120" w:line="276" w:lineRule="auto"/>
        <w:jc w:val="both"/>
        <w:rPr>
          <w:rFonts w:ascii="Trebuchet MS" w:hAnsi="Trebuchet MS"/>
        </w:rPr>
      </w:pPr>
      <w:r w:rsidRPr="004D6816">
        <w:rPr>
          <w:rFonts w:ascii="Trebuchet MS" w:hAnsi="Trebuchet MS"/>
        </w:rPr>
        <w:t>La collecte des données a ciblé les acteurs locaux, les ménages et les membres de la PCRRC. Les informations recueillies portaient sur les activités économiques, les données socio-démographiques, les types de risques, les vulnérabilités, les impacts, les périodes d’occurrence et les capacités locales. Les enquêtes ont été réalisées via les outils de collecte numérique (KoboCollect) à l’aide d’un sondage par grappes, permettant une sélection aléatoire des ménages représentatifs.</w:t>
      </w:r>
    </w:p>
    <w:p w14:paraId="1DC09DE8" w14:textId="77777777" w:rsidR="004D6816" w:rsidRPr="004D6816" w:rsidRDefault="004D6816" w:rsidP="004D6816">
      <w:pPr>
        <w:spacing w:after="120" w:line="276" w:lineRule="auto"/>
        <w:jc w:val="both"/>
        <w:rPr>
          <w:rFonts w:ascii="Trebuchet MS" w:hAnsi="Trebuchet MS" w:cs="Times New Roman"/>
        </w:rPr>
      </w:pPr>
      <w:r w:rsidRPr="004D6816">
        <w:rPr>
          <w:rFonts w:ascii="Trebuchet MS" w:hAnsi="Trebuchet MS"/>
        </w:rPr>
        <w:t xml:space="preserve">La taille de l’échantillon a été déterminée selon une formule standard prenant en compte la marge d’erreur, l’effet de grappe, la non-réponse et un niveau de confiance de 95 %. Au total, 562 ménages ont été enquêtés à travers les 9 arrondissements de la commune basé sur la formule de Gorstein et al 2007. </w:t>
      </w:r>
      <w:r w:rsidRPr="004D6816">
        <w:rPr>
          <w:rFonts w:ascii="Trebuchet MS" w:hAnsi="Trebuchet MS" w:cs="Times New Roman"/>
        </w:rPr>
        <w:t>Les logiciels de traitement, d’apurement et de contrôle (SPSS 21 et R) ont été utilisés pour vérifier, corriger les erreurs éventuelles et analyser les données collectées. Des représentations graphiques ont été faites sous R et des cartes réalisées avec le logiciel ArcGis 10.8.</w:t>
      </w:r>
    </w:p>
    <w:p w14:paraId="3D19B096" w14:textId="1330C8AB" w:rsidR="004D6816" w:rsidRPr="004D6816" w:rsidRDefault="004D6816" w:rsidP="004D6816">
      <w:pPr>
        <w:pStyle w:val="Titre1"/>
        <w:numPr>
          <w:ilvl w:val="0"/>
          <w:numId w:val="7"/>
        </w:numPr>
        <w:spacing w:after="0" w:line="276" w:lineRule="auto"/>
        <w:jc w:val="both"/>
        <w:rPr>
          <w:rFonts w:ascii="Trebuchet MS" w:hAnsi="Trebuchet MS"/>
          <w:sz w:val="24"/>
          <w:szCs w:val="24"/>
        </w:rPr>
      </w:pPr>
      <w:r w:rsidRPr="004D6816">
        <w:rPr>
          <w:rFonts w:ascii="Trebuchet MS" w:hAnsi="Trebuchet MS"/>
          <w:sz w:val="24"/>
          <w:szCs w:val="24"/>
        </w:rPr>
        <w:t>Principaux risques recensés et raisons de leur survenance</w:t>
      </w:r>
    </w:p>
    <w:p w14:paraId="335C7FED" w14:textId="77777777" w:rsidR="00F16622" w:rsidRPr="00F16622" w:rsidRDefault="004D6816" w:rsidP="00F16622">
      <w:pPr>
        <w:spacing w:before="240" w:after="0" w:line="276" w:lineRule="auto"/>
        <w:jc w:val="both"/>
        <w:rPr>
          <w:rFonts w:ascii="Trebuchet MS" w:hAnsi="Trebuchet MS"/>
        </w:rPr>
      </w:pPr>
      <w:r w:rsidRPr="00F16622">
        <w:rPr>
          <w:rFonts w:ascii="Trebuchet MS" w:hAnsi="Trebuchet MS"/>
        </w:rPr>
        <w:t xml:space="preserve">Dans la Commune de Natitingou, les habitants font face à plusieurs risques majeurs. </w:t>
      </w:r>
    </w:p>
    <w:p w14:paraId="4577E7D4" w14:textId="77777777" w:rsidR="004C0EEF" w:rsidRDefault="00F16622" w:rsidP="00F16622">
      <w:pPr>
        <w:spacing w:after="0" w:line="276" w:lineRule="auto"/>
        <w:jc w:val="both"/>
        <w:rPr>
          <w:rFonts w:ascii="Trebuchet MS" w:hAnsi="Trebuchet MS" w:cs="Times New Roman"/>
        </w:rPr>
      </w:pPr>
      <w:r w:rsidRPr="00F16622">
        <w:rPr>
          <w:rFonts w:ascii="Trebuchet MS" w:hAnsi="Trebuchet MS" w:cs="Times New Roman"/>
          <w:b/>
          <w:bCs/>
          <w:color w:val="C00000"/>
        </w:rPr>
        <w:t>Les poches de sécheresse (88.34 %)</w:t>
      </w:r>
      <w:r w:rsidRPr="00F16622">
        <w:rPr>
          <w:rFonts w:ascii="Trebuchet MS" w:hAnsi="Trebuchet MS" w:cs="Times New Roman"/>
        </w:rPr>
        <w:t xml:space="preserve">, exacerbées par le réchauffement climatique, constituent un défi majeur pour les populations locales. Elles entraînent le ralentissement des activités agricoles, par </w:t>
      </w:r>
    </w:p>
    <w:p w14:paraId="03418257" w14:textId="77777777" w:rsidR="004C0EEF" w:rsidRDefault="004C0EEF" w:rsidP="00F16622">
      <w:pPr>
        <w:spacing w:after="0" w:line="276" w:lineRule="auto"/>
        <w:jc w:val="both"/>
        <w:rPr>
          <w:rFonts w:ascii="Trebuchet MS" w:hAnsi="Trebuchet MS" w:cs="Times New Roman"/>
        </w:rPr>
      </w:pPr>
    </w:p>
    <w:p w14:paraId="30C67C73" w14:textId="77777777" w:rsidR="004C0EEF" w:rsidRDefault="004C0EEF" w:rsidP="00F16622">
      <w:pPr>
        <w:spacing w:after="0" w:line="276" w:lineRule="auto"/>
        <w:jc w:val="both"/>
        <w:rPr>
          <w:rFonts w:ascii="Trebuchet MS" w:hAnsi="Trebuchet MS" w:cs="Times New Roman"/>
        </w:rPr>
      </w:pPr>
    </w:p>
    <w:p w14:paraId="4251B392" w14:textId="77777777" w:rsidR="004C0EEF" w:rsidRDefault="004C0EEF" w:rsidP="00F16622">
      <w:pPr>
        <w:spacing w:after="0" w:line="276" w:lineRule="auto"/>
        <w:jc w:val="both"/>
        <w:rPr>
          <w:rFonts w:ascii="Trebuchet MS" w:hAnsi="Trebuchet MS" w:cs="Times New Roman"/>
        </w:rPr>
      </w:pPr>
    </w:p>
    <w:p w14:paraId="79A8411D" w14:textId="49A10BE2" w:rsidR="00F16622" w:rsidRPr="00F16622" w:rsidRDefault="00F16622" w:rsidP="00F16622">
      <w:pPr>
        <w:spacing w:after="0" w:line="276" w:lineRule="auto"/>
        <w:jc w:val="both"/>
        <w:rPr>
          <w:rFonts w:ascii="Trebuchet MS" w:hAnsi="Trebuchet MS" w:cs="Times New Roman"/>
        </w:rPr>
      </w:pPr>
      <w:proofErr w:type="gramStart"/>
      <w:r w:rsidRPr="00F16622">
        <w:rPr>
          <w:rFonts w:ascii="Trebuchet MS" w:hAnsi="Trebuchet MS" w:cs="Times New Roman"/>
        </w:rPr>
        <w:lastRenderedPageBreak/>
        <w:t>conséquent</w:t>
      </w:r>
      <w:proofErr w:type="gramEnd"/>
      <w:r w:rsidRPr="00F16622">
        <w:rPr>
          <w:rFonts w:ascii="Trebuchet MS" w:hAnsi="Trebuchet MS" w:cs="Times New Roman"/>
        </w:rPr>
        <w:t>, l’insécurité alimentaire, des déshydratations et des maladies liées à la chaleur et à l’eau. Les groupes les plus vulnérables, tels que les enfants, les personnes âgées et les personnes souffrant de maladies chroniques, sont particulièrement exposés à ces risques.</w:t>
      </w:r>
    </w:p>
    <w:p w14:paraId="16EAF543" w14:textId="3FC850D5" w:rsidR="00F807D7" w:rsidRDefault="00F16622" w:rsidP="00F16622">
      <w:pPr>
        <w:spacing w:after="0" w:line="276" w:lineRule="auto"/>
        <w:jc w:val="both"/>
        <w:rPr>
          <w:rFonts w:ascii="Trebuchet MS" w:hAnsi="Trebuchet MS" w:cs="Times New Roman"/>
        </w:rPr>
      </w:pPr>
      <w:r w:rsidRPr="00F16622">
        <w:rPr>
          <w:rFonts w:ascii="Trebuchet MS" w:hAnsi="Trebuchet MS" w:cs="Times New Roman"/>
          <w:b/>
          <w:bCs/>
          <w:color w:val="C00000"/>
        </w:rPr>
        <w:t>Les vents violents (49.93 %)</w:t>
      </w:r>
      <w:r w:rsidRPr="00F16622">
        <w:rPr>
          <w:rFonts w:ascii="Trebuchet MS" w:hAnsi="Trebuchet MS" w:cs="Times New Roman"/>
          <w:b/>
          <w:bCs/>
        </w:rPr>
        <w:t>,</w:t>
      </w:r>
      <w:r w:rsidRPr="00F16622">
        <w:rPr>
          <w:rFonts w:ascii="Trebuchet MS" w:hAnsi="Trebuchet MS" w:cs="Times New Roman"/>
        </w:rPr>
        <w:t xml:space="preserve"> un autre facteur de risque important pour la Commune de Natitingou. L’exploitation des ressources végétales par les activités anthropiques favorisent la circulation du vent avec une grande vitesse. Ils entrainent la destruction des cultures, le décoiffement des maisons en </w:t>
      </w:r>
    </w:p>
    <w:p w14:paraId="46D7003A" w14:textId="41312F28" w:rsidR="00F16622" w:rsidRPr="00F16622" w:rsidRDefault="00F16622" w:rsidP="00F16622">
      <w:pPr>
        <w:spacing w:after="0" w:line="276" w:lineRule="auto"/>
        <w:jc w:val="both"/>
        <w:rPr>
          <w:rFonts w:ascii="Trebuchet MS" w:hAnsi="Trebuchet MS" w:cs="Times New Roman"/>
        </w:rPr>
      </w:pPr>
      <w:proofErr w:type="gramStart"/>
      <w:r w:rsidRPr="00F16622">
        <w:rPr>
          <w:rFonts w:ascii="Trebuchet MS" w:hAnsi="Trebuchet MS" w:cs="Times New Roman"/>
        </w:rPr>
        <w:t>créant</w:t>
      </w:r>
      <w:proofErr w:type="gramEnd"/>
      <w:r w:rsidRPr="00F16622">
        <w:rPr>
          <w:rFonts w:ascii="Trebuchet MS" w:hAnsi="Trebuchet MS" w:cs="Times New Roman"/>
        </w:rPr>
        <w:t xml:space="preserve"> des sans-abris, des déplacements forcés de populations. Ces vents violents présentent des impacts significatifs en saison de pluie. </w:t>
      </w:r>
    </w:p>
    <w:p w14:paraId="4130934D" w14:textId="77777777" w:rsidR="00F16622" w:rsidRPr="00F16622" w:rsidRDefault="00F16622" w:rsidP="00F16622">
      <w:pPr>
        <w:spacing w:after="0" w:line="276" w:lineRule="auto"/>
        <w:jc w:val="both"/>
        <w:rPr>
          <w:rFonts w:ascii="Trebuchet MS" w:hAnsi="Trebuchet MS" w:cs="Times New Roman"/>
        </w:rPr>
      </w:pPr>
      <w:r w:rsidRPr="00F16622">
        <w:rPr>
          <w:rFonts w:ascii="Trebuchet MS" w:hAnsi="Trebuchet MS" w:cs="Times New Roman"/>
          <w:b/>
          <w:bCs/>
          <w:color w:val="C00000"/>
        </w:rPr>
        <w:t>Les accidents de circulation (37.22 %)</w:t>
      </w:r>
      <w:r w:rsidRPr="00F16622">
        <w:rPr>
          <w:rFonts w:ascii="Trebuchet MS" w:hAnsi="Trebuchet MS" w:cs="Times New Roman"/>
          <w:b/>
          <w:bCs/>
        </w:rPr>
        <w:t>,</w:t>
      </w:r>
      <w:r w:rsidRPr="00F16622">
        <w:rPr>
          <w:rFonts w:ascii="Trebuchet MS" w:hAnsi="Trebuchet MS" w:cs="Times New Roman"/>
        </w:rPr>
        <w:t xml:space="preserve"> sont également une préoccupation majeure pour la Commune grâce à sa position de carrefour dans le département de l’Atacora et le transit vers les pays voisins. Le manque d'infrastructures routières adéquates, le non-respect des règles de conduite et le mauvais état des véhicules augmentent le risque d'accidents graves sur les routes locales, nationales et internationales.</w:t>
      </w:r>
    </w:p>
    <w:p w14:paraId="7F8FCFD4" w14:textId="77777777" w:rsidR="00F16622" w:rsidRPr="00F16622" w:rsidRDefault="00F16622" w:rsidP="00F16622">
      <w:pPr>
        <w:spacing w:after="0" w:line="276" w:lineRule="auto"/>
        <w:jc w:val="both"/>
        <w:rPr>
          <w:rFonts w:ascii="Trebuchet MS" w:hAnsi="Trebuchet MS" w:cs="Times New Roman"/>
        </w:rPr>
      </w:pPr>
      <w:r w:rsidRPr="00F16622">
        <w:rPr>
          <w:rFonts w:ascii="Trebuchet MS" w:hAnsi="Trebuchet MS" w:cs="Times New Roman"/>
          <w:b/>
          <w:bCs/>
          <w:color w:val="C00000"/>
        </w:rPr>
        <w:t>Les érosions pluviales (31.69 %)</w:t>
      </w:r>
      <w:r w:rsidRPr="00F16622">
        <w:rPr>
          <w:rFonts w:ascii="Trebuchet MS" w:hAnsi="Trebuchet MS" w:cs="Times New Roman"/>
          <w:b/>
          <w:bCs/>
        </w:rPr>
        <w:t>,</w:t>
      </w:r>
      <w:r w:rsidRPr="00F16622">
        <w:rPr>
          <w:rFonts w:ascii="Trebuchet MS" w:hAnsi="Trebuchet MS" w:cs="Times New Roman"/>
        </w:rPr>
        <w:t xml:space="preserve"> sont des phénomènes naturel et anthropique qui causent également des dommages importants aux cultures, aux infrastructures et aux habitations.</w:t>
      </w:r>
    </w:p>
    <w:p w14:paraId="4B24F692" w14:textId="77777777" w:rsidR="00F16622" w:rsidRPr="00F16622" w:rsidRDefault="00F16622" w:rsidP="00F16622">
      <w:pPr>
        <w:spacing w:after="0" w:line="276" w:lineRule="auto"/>
        <w:jc w:val="both"/>
        <w:rPr>
          <w:rFonts w:ascii="Trebuchet MS" w:hAnsi="Trebuchet MS" w:cs="Times New Roman"/>
        </w:rPr>
      </w:pPr>
      <w:r w:rsidRPr="00F16622">
        <w:rPr>
          <w:rFonts w:ascii="Trebuchet MS" w:hAnsi="Trebuchet MS" w:cs="Times New Roman"/>
          <w:b/>
          <w:bCs/>
          <w:color w:val="C00000"/>
        </w:rPr>
        <w:t>Les conflits entre agriculteurs et éleveurs (29.90 %)</w:t>
      </w:r>
      <w:r w:rsidRPr="00F16622">
        <w:rPr>
          <w:rFonts w:ascii="Trebuchet MS" w:hAnsi="Trebuchet MS" w:cs="Times New Roman"/>
          <w:b/>
          <w:bCs/>
        </w:rPr>
        <w:t>,</w:t>
      </w:r>
      <w:r w:rsidRPr="00F16622">
        <w:rPr>
          <w:rFonts w:ascii="Trebuchet MS" w:hAnsi="Trebuchet MS" w:cs="Times New Roman"/>
        </w:rPr>
        <w:t xml:space="preserve"> sont un risque bien connu pour la Commune de Natitingou. Ces conflits peuvent causer des dégâts matériels, et des pertes en vies humaines.</w:t>
      </w:r>
    </w:p>
    <w:p w14:paraId="641410EF" w14:textId="77777777" w:rsidR="00F16622" w:rsidRPr="00F16622" w:rsidRDefault="00F16622" w:rsidP="00F16622">
      <w:pPr>
        <w:spacing w:after="0" w:line="276" w:lineRule="auto"/>
        <w:jc w:val="both"/>
        <w:rPr>
          <w:rFonts w:ascii="Trebuchet MS" w:hAnsi="Trebuchet MS" w:cs="Times New Roman"/>
        </w:rPr>
      </w:pPr>
      <w:r w:rsidRPr="00F16622">
        <w:rPr>
          <w:rFonts w:ascii="Trebuchet MS" w:hAnsi="Trebuchet MS" w:cs="Times New Roman"/>
          <w:color w:val="C00000"/>
        </w:rPr>
        <w:t>Les autres aléas</w:t>
      </w:r>
      <w:r w:rsidRPr="00F16622">
        <w:rPr>
          <w:rFonts w:ascii="Trebuchet MS" w:hAnsi="Trebuchet MS" w:cs="Times New Roman"/>
        </w:rPr>
        <w:t xml:space="preserve"> enregistrés que sont les inondations, menaces terroristes, érosion pluviale, maladies et épidémies, les vagues de chaleurs, les incendies ne sont pas présents en, mais ils affectent néanmoins les activités et la vie des populations.  </w:t>
      </w:r>
    </w:p>
    <w:p w14:paraId="75E9BDE4" w14:textId="77777777" w:rsidR="004D6816" w:rsidRPr="00565CED" w:rsidRDefault="004D6816" w:rsidP="00F16622">
      <w:pPr>
        <w:spacing w:before="240" w:after="0" w:line="276" w:lineRule="auto"/>
        <w:jc w:val="both"/>
        <w:rPr>
          <w:rFonts w:ascii="Trebuchet MS" w:hAnsi="Trebuchet MS"/>
          <w:lang w:val="fr-BJ"/>
        </w:rPr>
      </w:pPr>
      <w:r w:rsidRPr="00565CED">
        <w:rPr>
          <w:rFonts w:ascii="Trebuchet MS" w:hAnsi="Trebuchet MS"/>
          <w:lang w:val="fr-BJ"/>
        </w:rPr>
        <w:t>Les périodes d’occurrence varient :</w:t>
      </w:r>
    </w:p>
    <w:p w14:paraId="2326D8AE" w14:textId="77777777" w:rsidR="004D6816" w:rsidRPr="00565CED" w:rsidRDefault="004D6816" w:rsidP="00F16622">
      <w:pPr>
        <w:numPr>
          <w:ilvl w:val="0"/>
          <w:numId w:val="11"/>
        </w:numPr>
        <w:spacing w:after="0" w:line="276" w:lineRule="auto"/>
        <w:jc w:val="both"/>
        <w:rPr>
          <w:rFonts w:ascii="Trebuchet MS" w:hAnsi="Trebuchet MS"/>
          <w:lang w:val="fr-BJ"/>
        </w:rPr>
      </w:pPr>
      <w:r w:rsidRPr="00565CED">
        <w:rPr>
          <w:rFonts w:ascii="Trebuchet MS" w:hAnsi="Trebuchet MS"/>
          <w:lang w:val="fr-BJ"/>
        </w:rPr>
        <w:t xml:space="preserve">La </w:t>
      </w:r>
      <w:r w:rsidRPr="00565CED">
        <w:rPr>
          <w:rFonts w:ascii="Trebuchet MS" w:hAnsi="Trebuchet MS"/>
          <w:b/>
          <w:bCs/>
          <w:lang w:val="fr-BJ"/>
        </w:rPr>
        <w:t>sécheresse</w:t>
      </w:r>
      <w:r w:rsidRPr="00565CED">
        <w:rPr>
          <w:rFonts w:ascii="Trebuchet MS" w:hAnsi="Trebuchet MS"/>
          <w:lang w:val="fr-BJ"/>
        </w:rPr>
        <w:t xml:space="preserve"> et les </w:t>
      </w:r>
      <w:r w:rsidRPr="00565CED">
        <w:rPr>
          <w:rFonts w:ascii="Trebuchet MS" w:hAnsi="Trebuchet MS"/>
          <w:b/>
          <w:bCs/>
          <w:lang w:val="fr-BJ"/>
        </w:rPr>
        <w:t>vents violents</w:t>
      </w:r>
      <w:r w:rsidRPr="00565CED">
        <w:rPr>
          <w:rFonts w:ascii="Trebuchet MS" w:hAnsi="Trebuchet MS"/>
          <w:lang w:val="fr-BJ"/>
        </w:rPr>
        <w:t xml:space="preserve"> sévissent en saison sèche (novembre–avril) ;</w:t>
      </w:r>
    </w:p>
    <w:p w14:paraId="245340A3" w14:textId="77777777" w:rsidR="004D6816" w:rsidRPr="00565CED" w:rsidRDefault="004D6816" w:rsidP="00F16622">
      <w:pPr>
        <w:numPr>
          <w:ilvl w:val="0"/>
          <w:numId w:val="11"/>
        </w:numPr>
        <w:spacing w:after="0" w:line="276" w:lineRule="auto"/>
        <w:jc w:val="both"/>
        <w:rPr>
          <w:rFonts w:ascii="Trebuchet MS" w:hAnsi="Trebuchet MS"/>
          <w:lang w:val="fr-BJ"/>
        </w:rPr>
      </w:pPr>
      <w:r w:rsidRPr="00565CED">
        <w:rPr>
          <w:rFonts w:ascii="Trebuchet MS" w:hAnsi="Trebuchet MS"/>
          <w:lang w:val="fr-BJ"/>
        </w:rPr>
        <w:t>L’</w:t>
      </w:r>
      <w:r w:rsidRPr="00565CED">
        <w:rPr>
          <w:rFonts w:ascii="Trebuchet MS" w:hAnsi="Trebuchet MS"/>
          <w:b/>
          <w:bCs/>
          <w:lang w:val="fr-BJ"/>
        </w:rPr>
        <w:t>érosion pluviale</w:t>
      </w:r>
      <w:r w:rsidRPr="00565CED">
        <w:rPr>
          <w:rFonts w:ascii="Trebuchet MS" w:hAnsi="Trebuchet MS"/>
          <w:lang w:val="fr-BJ"/>
        </w:rPr>
        <w:t xml:space="preserve"> est fréquente en saison des pluies (avril–octobre) ;</w:t>
      </w:r>
    </w:p>
    <w:p w14:paraId="28E37440" w14:textId="77777777" w:rsidR="004D6816" w:rsidRPr="00565CED" w:rsidRDefault="004D6816" w:rsidP="00F16622">
      <w:pPr>
        <w:numPr>
          <w:ilvl w:val="0"/>
          <w:numId w:val="11"/>
        </w:numPr>
        <w:spacing w:after="0" w:line="276" w:lineRule="auto"/>
        <w:jc w:val="both"/>
        <w:rPr>
          <w:rFonts w:ascii="Trebuchet MS" w:hAnsi="Trebuchet MS"/>
          <w:lang w:val="fr-BJ"/>
        </w:rPr>
      </w:pPr>
      <w:r w:rsidRPr="00565CED">
        <w:rPr>
          <w:rFonts w:ascii="Trebuchet MS" w:hAnsi="Trebuchet MS"/>
          <w:lang w:val="fr-BJ"/>
        </w:rPr>
        <w:t xml:space="preserve">Les </w:t>
      </w:r>
      <w:r w:rsidRPr="00565CED">
        <w:rPr>
          <w:rFonts w:ascii="Trebuchet MS" w:hAnsi="Trebuchet MS"/>
          <w:b/>
          <w:bCs/>
          <w:lang w:val="fr-BJ"/>
        </w:rPr>
        <w:t>accidents de circulation</w:t>
      </w:r>
      <w:r w:rsidRPr="00565CED">
        <w:rPr>
          <w:rFonts w:ascii="Trebuchet MS" w:hAnsi="Trebuchet MS"/>
          <w:lang w:val="fr-BJ"/>
        </w:rPr>
        <w:t xml:space="preserve"> se produisent toute l’année, mais augmentent en périodes de forte affluence ;</w:t>
      </w:r>
    </w:p>
    <w:p w14:paraId="38EF7638" w14:textId="77777777" w:rsidR="004D6816" w:rsidRPr="00565CED" w:rsidRDefault="004D6816" w:rsidP="00F16622">
      <w:pPr>
        <w:numPr>
          <w:ilvl w:val="0"/>
          <w:numId w:val="11"/>
        </w:numPr>
        <w:spacing w:after="0" w:line="276" w:lineRule="auto"/>
        <w:jc w:val="both"/>
        <w:rPr>
          <w:rFonts w:ascii="Trebuchet MS" w:hAnsi="Trebuchet MS"/>
          <w:lang w:val="fr-BJ"/>
        </w:rPr>
      </w:pPr>
      <w:r w:rsidRPr="00565CED">
        <w:rPr>
          <w:rFonts w:ascii="Trebuchet MS" w:hAnsi="Trebuchet MS"/>
          <w:lang w:val="fr-BJ"/>
        </w:rPr>
        <w:t xml:space="preserve">Les </w:t>
      </w:r>
      <w:r w:rsidRPr="00565CED">
        <w:rPr>
          <w:rFonts w:ascii="Trebuchet MS" w:hAnsi="Trebuchet MS"/>
          <w:b/>
          <w:bCs/>
          <w:lang w:val="fr-BJ"/>
        </w:rPr>
        <w:t>conflits agropastoraux</w:t>
      </w:r>
      <w:r w:rsidRPr="00565CED">
        <w:rPr>
          <w:rFonts w:ascii="Trebuchet MS" w:hAnsi="Trebuchet MS"/>
          <w:lang w:val="fr-BJ"/>
        </w:rPr>
        <w:t xml:space="preserve"> surviennent surtout en période de stress hydrique.</w:t>
      </w:r>
    </w:p>
    <w:p w14:paraId="27556FDB" w14:textId="04DBCFA9" w:rsidR="004D6816" w:rsidRPr="004D6816" w:rsidRDefault="004D6816" w:rsidP="004D6816">
      <w:pPr>
        <w:pStyle w:val="Titre1"/>
        <w:numPr>
          <w:ilvl w:val="0"/>
          <w:numId w:val="7"/>
        </w:numPr>
        <w:spacing w:line="276" w:lineRule="auto"/>
        <w:jc w:val="both"/>
        <w:rPr>
          <w:rFonts w:ascii="Trebuchet MS" w:hAnsi="Trebuchet MS"/>
          <w:sz w:val="22"/>
          <w:szCs w:val="22"/>
        </w:rPr>
      </w:pPr>
      <w:r w:rsidRPr="004D6816">
        <w:rPr>
          <w:rFonts w:ascii="Trebuchet MS" w:hAnsi="Trebuchet MS"/>
          <w:sz w:val="22"/>
          <w:szCs w:val="22"/>
        </w:rPr>
        <w:t>Impacts des risques</w:t>
      </w:r>
    </w:p>
    <w:p w14:paraId="5A98DC33" w14:textId="11882AB3" w:rsidR="004D6816" w:rsidRPr="004D6816" w:rsidRDefault="004D6816" w:rsidP="004D6816">
      <w:pPr>
        <w:spacing w:line="276" w:lineRule="auto"/>
        <w:jc w:val="both"/>
        <w:rPr>
          <w:rFonts w:ascii="Trebuchet MS" w:hAnsi="Trebuchet MS"/>
        </w:rPr>
      </w:pPr>
      <w:r w:rsidRPr="004D6816">
        <w:rPr>
          <w:rFonts w:ascii="Trebuchet MS" w:hAnsi="Trebuchet MS"/>
        </w:rPr>
        <w:t xml:space="preserve">Les risques identifiés dans la Commune de Natitingou </w:t>
      </w:r>
      <w:r w:rsidR="00F16622">
        <w:rPr>
          <w:rFonts w:ascii="Trebuchet MS" w:hAnsi="Trebuchet MS"/>
        </w:rPr>
        <w:t>(</w:t>
      </w:r>
      <w:r w:rsidRPr="004D6816">
        <w:rPr>
          <w:rFonts w:ascii="Trebuchet MS" w:hAnsi="Trebuchet MS"/>
        </w:rPr>
        <w:t>sécheresse, vents violents, érosion pluviale, accidents de circulation et conflits entre agriculteurs et éleveurs</w:t>
      </w:r>
      <w:r w:rsidR="00F16622">
        <w:rPr>
          <w:rFonts w:ascii="Trebuchet MS" w:hAnsi="Trebuchet MS"/>
        </w:rPr>
        <w:t>)</w:t>
      </w:r>
      <w:r w:rsidRPr="004D6816">
        <w:rPr>
          <w:rFonts w:ascii="Trebuchet MS" w:hAnsi="Trebuchet MS"/>
        </w:rPr>
        <w:t xml:space="preserve"> ont des répercussions multiformes : </w:t>
      </w:r>
    </w:p>
    <w:p w14:paraId="07C064DE" w14:textId="02A80C07" w:rsidR="004D6816" w:rsidRPr="00F16622" w:rsidRDefault="004D6816" w:rsidP="00804901">
      <w:pPr>
        <w:pStyle w:val="Paragraphedeliste"/>
        <w:numPr>
          <w:ilvl w:val="0"/>
          <w:numId w:val="18"/>
        </w:numPr>
        <w:spacing w:after="0" w:line="360" w:lineRule="auto"/>
        <w:jc w:val="both"/>
        <w:rPr>
          <w:rFonts w:ascii="Trebuchet MS" w:hAnsi="Trebuchet MS"/>
          <w:b/>
          <w:bCs/>
          <w:lang w:val="fr-BJ"/>
        </w:rPr>
      </w:pPr>
      <w:r w:rsidRPr="00F16622">
        <w:rPr>
          <w:rFonts w:ascii="Trebuchet MS" w:hAnsi="Trebuchet MS"/>
          <w:b/>
          <w:bCs/>
          <w:lang w:val="fr-BJ"/>
        </w:rPr>
        <w:t>Tableau 1 : Impacts environnementaux des risques à Natitingou</w:t>
      </w:r>
    </w:p>
    <w:tbl>
      <w:tblPr>
        <w:tblW w:w="997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97"/>
        <w:gridCol w:w="2203"/>
        <w:gridCol w:w="5878"/>
      </w:tblGrid>
      <w:tr w:rsidR="004D6816" w:rsidRPr="002B52CC" w14:paraId="5596046D" w14:textId="77777777" w:rsidTr="00A45BB4">
        <w:trPr>
          <w:tblHeader/>
          <w:tblCellSpacing w:w="15" w:type="dxa"/>
        </w:trPr>
        <w:tc>
          <w:tcPr>
            <w:tcW w:w="0" w:type="auto"/>
            <w:vAlign w:val="center"/>
            <w:hideMark/>
          </w:tcPr>
          <w:p w14:paraId="7AEA5C75" w14:textId="77777777" w:rsidR="004D6816" w:rsidRPr="002B52CC" w:rsidRDefault="004D6816" w:rsidP="004D6816">
            <w:pPr>
              <w:spacing w:after="0" w:line="240" w:lineRule="auto"/>
              <w:jc w:val="both"/>
              <w:rPr>
                <w:rFonts w:ascii="Trebuchet MS" w:hAnsi="Trebuchet MS"/>
                <w:b/>
                <w:bCs/>
                <w:sz w:val="20"/>
                <w:szCs w:val="20"/>
                <w:lang w:val="fr-BJ"/>
              </w:rPr>
            </w:pPr>
            <w:r w:rsidRPr="002B52CC">
              <w:rPr>
                <w:rFonts w:ascii="Trebuchet MS" w:hAnsi="Trebuchet MS"/>
                <w:b/>
                <w:bCs/>
                <w:sz w:val="20"/>
                <w:szCs w:val="20"/>
                <w:lang w:val="fr-BJ"/>
              </w:rPr>
              <w:t>Risque</w:t>
            </w:r>
          </w:p>
        </w:tc>
        <w:tc>
          <w:tcPr>
            <w:tcW w:w="0" w:type="auto"/>
            <w:vAlign w:val="center"/>
            <w:hideMark/>
          </w:tcPr>
          <w:p w14:paraId="0BE9DD1B" w14:textId="77777777" w:rsidR="004D6816" w:rsidRPr="002B52CC" w:rsidRDefault="004D6816" w:rsidP="004D6816">
            <w:pPr>
              <w:spacing w:after="0" w:line="240" w:lineRule="auto"/>
              <w:jc w:val="both"/>
              <w:rPr>
                <w:rFonts w:ascii="Trebuchet MS" w:hAnsi="Trebuchet MS"/>
                <w:b/>
                <w:bCs/>
                <w:sz w:val="20"/>
                <w:szCs w:val="20"/>
                <w:lang w:val="fr-BJ"/>
              </w:rPr>
            </w:pPr>
            <w:r w:rsidRPr="002B52CC">
              <w:rPr>
                <w:rFonts w:ascii="Trebuchet MS" w:hAnsi="Trebuchet MS"/>
                <w:b/>
                <w:bCs/>
                <w:sz w:val="20"/>
                <w:szCs w:val="20"/>
                <w:lang w:val="fr-BJ"/>
              </w:rPr>
              <w:t>Compartiments affectés</w:t>
            </w:r>
          </w:p>
        </w:tc>
        <w:tc>
          <w:tcPr>
            <w:tcW w:w="5833" w:type="dxa"/>
            <w:vAlign w:val="center"/>
            <w:hideMark/>
          </w:tcPr>
          <w:p w14:paraId="25D41E2A" w14:textId="77777777" w:rsidR="004D6816" w:rsidRPr="002B52CC" w:rsidRDefault="004D6816" w:rsidP="004D6816">
            <w:pPr>
              <w:spacing w:after="0" w:line="240" w:lineRule="auto"/>
              <w:jc w:val="both"/>
              <w:rPr>
                <w:rFonts w:ascii="Trebuchet MS" w:hAnsi="Trebuchet MS"/>
                <w:b/>
                <w:bCs/>
                <w:sz w:val="20"/>
                <w:szCs w:val="20"/>
                <w:lang w:val="fr-BJ"/>
              </w:rPr>
            </w:pPr>
            <w:r w:rsidRPr="002B52CC">
              <w:rPr>
                <w:rFonts w:ascii="Trebuchet MS" w:hAnsi="Trebuchet MS"/>
                <w:b/>
                <w:bCs/>
                <w:sz w:val="20"/>
                <w:szCs w:val="20"/>
                <w:lang w:val="fr-BJ"/>
              </w:rPr>
              <w:t>Principaux impacts</w:t>
            </w:r>
          </w:p>
        </w:tc>
      </w:tr>
      <w:tr w:rsidR="004D6816" w:rsidRPr="004D6816" w14:paraId="57FF8D44" w14:textId="77777777" w:rsidTr="00A45BB4">
        <w:trPr>
          <w:tblCellSpacing w:w="15" w:type="dxa"/>
        </w:trPr>
        <w:tc>
          <w:tcPr>
            <w:tcW w:w="0" w:type="auto"/>
            <w:vMerge w:val="restart"/>
            <w:vAlign w:val="center"/>
            <w:hideMark/>
          </w:tcPr>
          <w:p w14:paraId="7734BB43" w14:textId="77777777" w:rsidR="004D6816" w:rsidRPr="002B52CC" w:rsidRDefault="004D6816" w:rsidP="004D6816">
            <w:pPr>
              <w:spacing w:after="0" w:line="240" w:lineRule="auto"/>
              <w:jc w:val="both"/>
              <w:rPr>
                <w:rFonts w:ascii="Trebuchet MS" w:hAnsi="Trebuchet MS"/>
                <w:sz w:val="20"/>
                <w:szCs w:val="20"/>
                <w:lang w:val="fr-BJ"/>
              </w:rPr>
            </w:pPr>
            <w:r w:rsidRPr="002B52CC">
              <w:rPr>
                <w:rFonts w:ascii="Trebuchet MS" w:hAnsi="Trebuchet MS"/>
                <w:b/>
                <w:bCs/>
                <w:sz w:val="20"/>
                <w:szCs w:val="20"/>
                <w:lang w:val="fr-BJ"/>
              </w:rPr>
              <w:t>Sécheresse</w:t>
            </w:r>
          </w:p>
        </w:tc>
        <w:tc>
          <w:tcPr>
            <w:tcW w:w="0" w:type="auto"/>
            <w:vAlign w:val="center"/>
            <w:hideMark/>
          </w:tcPr>
          <w:p w14:paraId="3D00E83C" w14:textId="77777777" w:rsidR="004D6816" w:rsidRPr="002B52CC" w:rsidRDefault="004D6816" w:rsidP="004D6816">
            <w:pPr>
              <w:spacing w:after="0" w:line="240" w:lineRule="auto"/>
              <w:jc w:val="both"/>
              <w:rPr>
                <w:rFonts w:ascii="Trebuchet MS" w:hAnsi="Trebuchet MS"/>
                <w:sz w:val="20"/>
                <w:szCs w:val="20"/>
                <w:lang w:val="fr-BJ"/>
              </w:rPr>
            </w:pPr>
            <w:r w:rsidRPr="002B52CC">
              <w:rPr>
                <w:rFonts w:ascii="Trebuchet MS" w:hAnsi="Trebuchet MS"/>
                <w:sz w:val="20"/>
                <w:szCs w:val="20"/>
                <w:lang w:val="fr-BJ"/>
              </w:rPr>
              <w:t>Ressources en eau</w:t>
            </w:r>
          </w:p>
        </w:tc>
        <w:tc>
          <w:tcPr>
            <w:tcW w:w="5833" w:type="dxa"/>
            <w:vAlign w:val="center"/>
            <w:hideMark/>
          </w:tcPr>
          <w:p w14:paraId="66DA190A" w14:textId="77777777" w:rsidR="004D6816" w:rsidRPr="002B52CC" w:rsidRDefault="004D6816" w:rsidP="004D6816">
            <w:pPr>
              <w:spacing w:after="0" w:line="240" w:lineRule="auto"/>
              <w:jc w:val="both"/>
              <w:rPr>
                <w:rFonts w:ascii="Trebuchet MS" w:hAnsi="Trebuchet MS"/>
                <w:sz w:val="20"/>
                <w:szCs w:val="20"/>
                <w:lang w:val="fr-BJ"/>
              </w:rPr>
            </w:pPr>
            <w:r w:rsidRPr="002B52CC">
              <w:rPr>
                <w:rFonts w:ascii="Trebuchet MS" w:hAnsi="Trebuchet MS"/>
                <w:sz w:val="20"/>
                <w:szCs w:val="20"/>
                <w:lang w:val="fr-BJ"/>
              </w:rPr>
              <w:t>Baisse des niveaux d’eau, stress hydrique, conflits d’usage</w:t>
            </w:r>
          </w:p>
        </w:tc>
      </w:tr>
      <w:tr w:rsidR="004D6816" w:rsidRPr="004D6816" w14:paraId="452A0A25" w14:textId="77777777" w:rsidTr="00A45BB4">
        <w:trPr>
          <w:tblCellSpacing w:w="15" w:type="dxa"/>
        </w:trPr>
        <w:tc>
          <w:tcPr>
            <w:tcW w:w="0" w:type="auto"/>
            <w:vMerge/>
            <w:vAlign w:val="center"/>
            <w:hideMark/>
          </w:tcPr>
          <w:p w14:paraId="01DB547B" w14:textId="77777777" w:rsidR="004D6816" w:rsidRPr="002B52CC" w:rsidRDefault="004D6816" w:rsidP="004D6816">
            <w:pPr>
              <w:spacing w:after="0" w:line="240" w:lineRule="auto"/>
              <w:jc w:val="both"/>
              <w:rPr>
                <w:rFonts w:ascii="Trebuchet MS" w:hAnsi="Trebuchet MS"/>
                <w:sz w:val="20"/>
                <w:szCs w:val="20"/>
                <w:lang w:val="fr-BJ"/>
              </w:rPr>
            </w:pPr>
          </w:p>
        </w:tc>
        <w:tc>
          <w:tcPr>
            <w:tcW w:w="0" w:type="auto"/>
            <w:vAlign w:val="center"/>
            <w:hideMark/>
          </w:tcPr>
          <w:p w14:paraId="56449FF0" w14:textId="77777777" w:rsidR="004D6816" w:rsidRPr="002B52CC" w:rsidRDefault="004D6816" w:rsidP="004D6816">
            <w:pPr>
              <w:spacing w:after="0" w:line="240" w:lineRule="auto"/>
              <w:jc w:val="both"/>
              <w:rPr>
                <w:rFonts w:ascii="Trebuchet MS" w:hAnsi="Trebuchet MS"/>
                <w:sz w:val="20"/>
                <w:szCs w:val="20"/>
                <w:lang w:val="fr-BJ"/>
              </w:rPr>
            </w:pPr>
            <w:r w:rsidRPr="002B52CC">
              <w:rPr>
                <w:rFonts w:ascii="Trebuchet MS" w:hAnsi="Trebuchet MS"/>
                <w:sz w:val="20"/>
                <w:szCs w:val="20"/>
                <w:lang w:val="fr-BJ"/>
              </w:rPr>
              <w:t>Faune</w:t>
            </w:r>
          </w:p>
        </w:tc>
        <w:tc>
          <w:tcPr>
            <w:tcW w:w="5833" w:type="dxa"/>
            <w:vAlign w:val="center"/>
            <w:hideMark/>
          </w:tcPr>
          <w:p w14:paraId="21B8AF4E" w14:textId="77777777" w:rsidR="004D6816" w:rsidRPr="002B52CC" w:rsidRDefault="004D6816" w:rsidP="004D6816">
            <w:pPr>
              <w:spacing w:after="0" w:line="240" w:lineRule="auto"/>
              <w:jc w:val="both"/>
              <w:rPr>
                <w:rFonts w:ascii="Trebuchet MS" w:hAnsi="Trebuchet MS"/>
                <w:sz w:val="20"/>
                <w:szCs w:val="20"/>
                <w:lang w:val="fr-BJ"/>
              </w:rPr>
            </w:pPr>
            <w:r w:rsidRPr="002B52CC">
              <w:rPr>
                <w:rFonts w:ascii="Trebuchet MS" w:hAnsi="Trebuchet MS"/>
                <w:sz w:val="20"/>
                <w:szCs w:val="20"/>
                <w:lang w:val="fr-BJ"/>
              </w:rPr>
              <w:t>Perte d’habitats, mortalité animale, vulnérabilité des espèces</w:t>
            </w:r>
          </w:p>
        </w:tc>
      </w:tr>
      <w:tr w:rsidR="004D6816" w:rsidRPr="004D6816" w14:paraId="6A006BA8" w14:textId="77777777" w:rsidTr="00A45BB4">
        <w:trPr>
          <w:tblCellSpacing w:w="15" w:type="dxa"/>
        </w:trPr>
        <w:tc>
          <w:tcPr>
            <w:tcW w:w="0" w:type="auto"/>
            <w:vMerge/>
            <w:vAlign w:val="center"/>
            <w:hideMark/>
          </w:tcPr>
          <w:p w14:paraId="78D3F9DD" w14:textId="77777777" w:rsidR="004D6816" w:rsidRPr="002B52CC" w:rsidRDefault="004D6816" w:rsidP="004D6816">
            <w:pPr>
              <w:spacing w:after="0" w:line="240" w:lineRule="auto"/>
              <w:jc w:val="both"/>
              <w:rPr>
                <w:rFonts w:ascii="Trebuchet MS" w:hAnsi="Trebuchet MS"/>
                <w:sz w:val="20"/>
                <w:szCs w:val="20"/>
                <w:lang w:val="fr-BJ"/>
              </w:rPr>
            </w:pPr>
          </w:p>
        </w:tc>
        <w:tc>
          <w:tcPr>
            <w:tcW w:w="0" w:type="auto"/>
            <w:vAlign w:val="center"/>
            <w:hideMark/>
          </w:tcPr>
          <w:p w14:paraId="77259DF9" w14:textId="77777777" w:rsidR="004D6816" w:rsidRPr="002B52CC" w:rsidRDefault="004D6816" w:rsidP="004D6816">
            <w:pPr>
              <w:spacing w:after="0" w:line="240" w:lineRule="auto"/>
              <w:jc w:val="both"/>
              <w:rPr>
                <w:rFonts w:ascii="Trebuchet MS" w:hAnsi="Trebuchet MS"/>
                <w:sz w:val="20"/>
                <w:szCs w:val="20"/>
                <w:lang w:val="fr-BJ"/>
              </w:rPr>
            </w:pPr>
            <w:r w:rsidRPr="002B52CC">
              <w:rPr>
                <w:rFonts w:ascii="Trebuchet MS" w:hAnsi="Trebuchet MS"/>
                <w:sz w:val="20"/>
                <w:szCs w:val="20"/>
                <w:lang w:val="fr-BJ"/>
              </w:rPr>
              <w:t>Végétation</w:t>
            </w:r>
          </w:p>
        </w:tc>
        <w:tc>
          <w:tcPr>
            <w:tcW w:w="5833" w:type="dxa"/>
            <w:vAlign w:val="center"/>
            <w:hideMark/>
          </w:tcPr>
          <w:p w14:paraId="792A620C" w14:textId="77777777" w:rsidR="004D6816" w:rsidRPr="002B52CC" w:rsidRDefault="004D6816" w:rsidP="004D6816">
            <w:pPr>
              <w:spacing w:after="0" w:line="240" w:lineRule="auto"/>
              <w:jc w:val="both"/>
              <w:rPr>
                <w:rFonts w:ascii="Trebuchet MS" w:hAnsi="Trebuchet MS"/>
                <w:sz w:val="20"/>
                <w:szCs w:val="20"/>
                <w:lang w:val="fr-BJ"/>
              </w:rPr>
            </w:pPr>
            <w:r w:rsidRPr="002B52CC">
              <w:rPr>
                <w:rFonts w:ascii="Trebuchet MS" w:hAnsi="Trebuchet MS"/>
                <w:sz w:val="20"/>
                <w:szCs w:val="20"/>
                <w:lang w:val="fr-BJ"/>
              </w:rPr>
              <w:t>Stress hydrique, perte de biodiversité floristique</w:t>
            </w:r>
          </w:p>
        </w:tc>
      </w:tr>
      <w:tr w:rsidR="004D6816" w:rsidRPr="004D6816" w14:paraId="33F17FA1" w14:textId="77777777" w:rsidTr="00A45BB4">
        <w:trPr>
          <w:tblCellSpacing w:w="15" w:type="dxa"/>
        </w:trPr>
        <w:tc>
          <w:tcPr>
            <w:tcW w:w="0" w:type="auto"/>
            <w:vMerge/>
            <w:vAlign w:val="center"/>
            <w:hideMark/>
          </w:tcPr>
          <w:p w14:paraId="2D2EEB44" w14:textId="77777777" w:rsidR="004D6816" w:rsidRPr="002B52CC" w:rsidRDefault="004D6816" w:rsidP="004D6816">
            <w:pPr>
              <w:spacing w:after="0" w:line="240" w:lineRule="auto"/>
              <w:jc w:val="both"/>
              <w:rPr>
                <w:rFonts w:ascii="Trebuchet MS" w:hAnsi="Trebuchet MS"/>
                <w:sz w:val="20"/>
                <w:szCs w:val="20"/>
                <w:lang w:val="fr-BJ"/>
              </w:rPr>
            </w:pPr>
          </w:p>
        </w:tc>
        <w:tc>
          <w:tcPr>
            <w:tcW w:w="0" w:type="auto"/>
            <w:vAlign w:val="center"/>
            <w:hideMark/>
          </w:tcPr>
          <w:p w14:paraId="7C04645E" w14:textId="77777777" w:rsidR="004D6816" w:rsidRPr="002B52CC" w:rsidRDefault="004D6816" w:rsidP="004D6816">
            <w:pPr>
              <w:spacing w:after="0" w:line="240" w:lineRule="auto"/>
              <w:jc w:val="both"/>
              <w:rPr>
                <w:rFonts w:ascii="Trebuchet MS" w:hAnsi="Trebuchet MS"/>
                <w:sz w:val="20"/>
                <w:szCs w:val="20"/>
                <w:lang w:val="fr-BJ"/>
              </w:rPr>
            </w:pPr>
            <w:r w:rsidRPr="002B52CC">
              <w:rPr>
                <w:rFonts w:ascii="Trebuchet MS" w:hAnsi="Trebuchet MS"/>
                <w:sz w:val="20"/>
                <w:szCs w:val="20"/>
                <w:lang w:val="fr-BJ"/>
              </w:rPr>
              <w:t>Sol</w:t>
            </w:r>
          </w:p>
        </w:tc>
        <w:tc>
          <w:tcPr>
            <w:tcW w:w="5833" w:type="dxa"/>
            <w:vAlign w:val="center"/>
            <w:hideMark/>
          </w:tcPr>
          <w:p w14:paraId="4F8B7417" w14:textId="77777777" w:rsidR="004D6816" w:rsidRPr="002B52CC" w:rsidRDefault="004D6816" w:rsidP="004D6816">
            <w:pPr>
              <w:spacing w:after="0" w:line="240" w:lineRule="auto"/>
              <w:jc w:val="both"/>
              <w:rPr>
                <w:rFonts w:ascii="Trebuchet MS" w:hAnsi="Trebuchet MS"/>
                <w:sz w:val="20"/>
                <w:szCs w:val="20"/>
                <w:lang w:val="fr-BJ"/>
              </w:rPr>
            </w:pPr>
            <w:r w:rsidRPr="002B52CC">
              <w:rPr>
                <w:rFonts w:ascii="Trebuchet MS" w:hAnsi="Trebuchet MS"/>
                <w:sz w:val="20"/>
                <w:szCs w:val="20"/>
                <w:lang w:val="fr-BJ"/>
              </w:rPr>
              <w:t>Baisse de fertilité, activité biologique réduite, évaporation accrue</w:t>
            </w:r>
          </w:p>
        </w:tc>
      </w:tr>
      <w:tr w:rsidR="004D6816" w:rsidRPr="004D6816" w14:paraId="51425388" w14:textId="77777777" w:rsidTr="00A45BB4">
        <w:trPr>
          <w:tblCellSpacing w:w="15" w:type="dxa"/>
        </w:trPr>
        <w:tc>
          <w:tcPr>
            <w:tcW w:w="0" w:type="auto"/>
            <w:vMerge w:val="restart"/>
            <w:vAlign w:val="center"/>
            <w:hideMark/>
          </w:tcPr>
          <w:p w14:paraId="52BA2532" w14:textId="77777777" w:rsidR="004D6816" w:rsidRPr="002B52CC" w:rsidRDefault="004D6816" w:rsidP="004D6816">
            <w:pPr>
              <w:spacing w:after="0" w:line="240" w:lineRule="auto"/>
              <w:jc w:val="both"/>
              <w:rPr>
                <w:rFonts w:ascii="Trebuchet MS" w:hAnsi="Trebuchet MS"/>
                <w:sz w:val="20"/>
                <w:szCs w:val="20"/>
                <w:lang w:val="fr-BJ"/>
              </w:rPr>
            </w:pPr>
            <w:r w:rsidRPr="002B52CC">
              <w:rPr>
                <w:rFonts w:ascii="Trebuchet MS" w:hAnsi="Trebuchet MS"/>
                <w:b/>
                <w:bCs/>
                <w:sz w:val="20"/>
                <w:szCs w:val="20"/>
                <w:lang w:val="fr-BJ"/>
              </w:rPr>
              <w:t>Vents violents</w:t>
            </w:r>
          </w:p>
        </w:tc>
        <w:tc>
          <w:tcPr>
            <w:tcW w:w="0" w:type="auto"/>
            <w:vAlign w:val="center"/>
            <w:hideMark/>
          </w:tcPr>
          <w:p w14:paraId="4A31C39C" w14:textId="77777777" w:rsidR="004D6816" w:rsidRPr="002B52CC" w:rsidRDefault="004D6816" w:rsidP="004D6816">
            <w:pPr>
              <w:spacing w:after="0" w:line="240" w:lineRule="auto"/>
              <w:jc w:val="both"/>
              <w:rPr>
                <w:rFonts w:ascii="Trebuchet MS" w:hAnsi="Trebuchet MS"/>
                <w:sz w:val="20"/>
                <w:szCs w:val="20"/>
                <w:lang w:val="fr-BJ"/>
              </w:rPr>
            </w:pPr>
            <w:r w:rsidRPr="002B52CC">
              <w:rPr>
                <w:rFonts w:ascii="Trebuchet MS" w:hAnsi="Trebuchet MS"/>
                <w:sz w:val="20"/>
                <w:szCs w:val="20"/>
                <w:lang w:val="fr-BJ"/>
              </w:rPr>
              <w:t>Végétation</w:t>
            </w:r>
          </w:p>
        </w:tc>
        <w:tc>
          <w:tcPr>
            <w:tcW w:w="5833" w:type="dxa"/>
            <w:vAlign w:val="center"/>
            <w:hideMark/>
          </w:tcPr>
          <w:p w14:paraId="722A0658" w14:textId="77777777" w:rsidR="004D6816" w:rsidRPr="002B52CC" w:rsidRDefault="004D6816" w:rsidP="004D6816">
            <w:pPr>
              <w:spacing w:after="0" w:line="240" w:lineRule="auto"/>
              <w:jc w:val="both"/>
              <w:rPr>
                <w:rFonts w:ascii="Trebuchet MS" w:hAnsi="Trebuchet MS"/>
                <w:sz w:val="20"/>
                <w:szCs w:val="20"/>
                <w:lang w:val="fr-BJ"/>
              </w:rPr>
            </w:pPr>
            <w:r w:rsidRPr="002B52CC">
              <w:rPr>
                <w:rFonts w:ascii="Trebuchet MS" w:hAnsi="Trebuchet MS"/>
                <w:sz w:val="20"/>
                <w:szCs w:val="20"/>
                <w:lang w:val="fr-BJ"/>
              </w:rPr>
              <w:t>Déracinement, perte de biodiversité, modification des écosystèmes</w:t>
            </w:r>
          </w:p>
        </w:tc>
      </w:tr>
      <w:tr w:rsidR="004D6816" w:rsidRPr="004D6816" w14:paraId="7CFBBE6C" w14:textId="77777777" w:rsidTr="00A45BB4">
        <w:trPr>
          <w:tblCellSpacing w:w="15" w:type="dxa"/>
        </w:trPr>
        <w:tc>
          <w:tcPr>
            <w:tcW w:w="0" w:type="auto"/>
            <w:vMerge/>
            <w:vAlign w:val="center"/>
            <w:hideMark/>
          </w:tcPr>
          <w:p w14:paraId="788B6218" w14:textId="77777777" w:rsidR="004D6816" w:rsidRPr="002B52CC" w:rsidRDefault="004D6816" w:rsidP="004D6816">
            <w:pPr>
              <w:spacing w:after="0" w:line="240" w:lineRule="auto"/>
              <w:jc w:val="both"/>
              <w:rPr>
                <w:rFonts w:ascii="Trebuchet MS" w:hAnsi="Trebuchet MS"/>
                <w:sz w:val="20"/>
                <w:szCs w:val="20"/>
                <w:lang w:val="fr-BJ"/>
              </w:rPr>
            </w:pPr>
          </w:p>
        </w:tc>
        <w:tc>
          <w:tcPr>
            <w:tcW w:w="0" w:type="auto"/>
            <w:vAlign w:val="center"/>
            <w:hideMark/>
          </w:tcPr>
          <w:p w14:paraId="163F1CD2" w14:textId="77777777" w:rsidR="004D6816" w:rsidRPr="002B52CC" w:rsidRDefault="004D6816" w:rsidP="004D6816">
            <w:pPr>
              <w:spacing w:after="0" w:line="240" w:lineRule="auto"/>
              <w:jc w:val="both"/>
              <w:rPr>
                <w:rFonts w:ascii="Trebuchet MS" w:hAnsi="Trebuchet MS"/>
                <w:sz w:val="20"/>
                <w:szCs w:val="20"/>
                <w:lang w:val="fr-BJ"/>
              </w:rPr>
            </w:pPr>
            <w:r w:rsidRPr="002B52CC">
              <w:rPr>
                <w:rFonts w:ascii="Trebuchet MS" w:hAnsi="Trebuchet MS"/>
                <w:sz w:val="20"/>
                <w:szCs w:val="20"/>
                <w:lang w:val="fr-BJ"/>
              </w:rPr>
              <w:t>Sol</w:t>
            </w:r>
          </w:p>
        </w:tc>
        <w:tc>
          <w:tcPr>
            <w:tcW w:w="5833" w:type="dxa"/>
            <w:vAlign w:val="center"/>
            <w:hideMark/>
          </w:tcPr>
          <w:p w14:paraId="0E415F90" w14:textId="77777777" w:rsidR="004D6816" w:rsidRPr="002B52CC" w:rsidRDefault="004D6816" w:rsidP="004D6816">
            <w:pPr>
              <w:spacing w:after="0" w:line="240" w:lineRule="auto"/>
              <w:jc w:val="both"/>
              <w:rPr>
                <w:rFonts w:ascii="Trebuchet MS" w:hAnsi="Trebuchet MS"/>
                <w:sz w:val="20"/>
                <w:szCs w:val="20"/>
                <w:lang w:val="fr-BJ"/>
              </w:rPr>
            </w:pPr>
            <w:r w:rsidRPr="002B52CC">
              <w:rPr>
                <w:rFonts w:ascii="Trebuchet MS" w:hAnsi="Trebuchet MS"/>
                <w:sz w:val="20"/>
                <w:szCs w:val="20"/>
                <w:lang w:val="fr-BJ"/>
              </w:rPr>
              <w:t>Érosion éolienne, déplacement du sol, perte de nutriments</w:t>
            </w:r>
          </w:p>
        </w:tc>
      </w:tr>
      <w:tr w:rsidR="004D6816" w:rsidRPr="004D6816" w14:paraId="4F57BD9E" w14:textId="77777777" w:rsidTr="00A45BB4">
        <w:trPr>
          <w:tblCellSpacing w:w="15" w:type="dxa"/>
        </w:trPr>
        <w:tc>
          <w:tcPr>
            <w:tcW w:w="0" w:type="auto"/>
            <w:vMerge w:val="restart"/>
            <w:vAlign w:val="center"/>
            <w:hideMark/>
          </w:tcPr>
          <w:p w14:paraId="60C52E64" w14:textId="77777777" w:rsidR="004D6816" w:rsidRPr="002B52CC" w:rsidRDefault="004D6816" w:rsidP="004D6816">
            <w:pPr>
              <w:spacing w:after="0" w:line="240" w:lineRule="auto"/>
              <w:jc w:val="both"/>
              <w:rPr>
                <w:rFonts w:ascii="Trebuchet MS" w:hAnsi="Trebuchet MS"/>
                <w:sz w:val="20"/>
                <w:szCs w:val="20"/>
                <w:lang w:val="fr-BJ"/>
              </w:rPr>
            </w:pPr>
            <w:r w:rsidRPr="002B52CC">
              <w:rPr>
                <w:rFonts w:ascii="Trebuchet MS" w:hAnsi="Trebuchet MS"/>
                <w:b/>
                <w:bCs/>
                <w:sz w:val="20"/>
                <w:szCs w:val="20"/>
                <w:lang w:val="fr-BJ"/>
              </w:rPr>
              <w:t>Accidents de circulation</w:t>
            </w:r>
          </w:p>
        </w:tc>
        <w:tc>
          <w:tcPr>
            <w:tcW w:w="0" w:type="auto"/>
            <w:vAlign w:val="center"/>
            <w:hideMark/>
          </w:tcPr>
          <w:p w14:paraId="0791A798" w14:textId="77777777" w:rsidR="004D6816" w:rsidRPr="002B52CC" w:rsidRDefault="004D6816" w:rsidP="004D6816">
            <w:pPr>
              <w:spacing w:after="0" w:line="240" w:lineRule="auto"/>
              <w:jc w:val="both"/>
              <w:rPr>
                <w:rFonts w:ascii="Trebuchet MS" w:hAnsi="Trebuchet MS"/>
                <w:sz w:val="20"/>
                <w:szCs w:val="20"/>
                <w:lang w:val="fr-BJ"/>
              </w:rPr>
            </w:pPr>
            <w:r w:rsidRPr="002B52CC">
              <w:rPr>
                <w:rFonts w:ascii="Trebuchet MS" w:hAnsi="Trebuchet MS"/>
                <w:sz w:val="20"/>
                <w:szCs w:val="20"/>
                <w:lang w:val="fr-BJ"/>
              </w:rPr>
              <w:t>Eau et sol</w:t>
            </w:r>
          </w:p>
        </w:tc>
        <w:tc>
          <w:tcPr>
            <w:tcW w:w="5833" w:type="dxa"/>
            <w:vAlign w:val="center"/>
            <w:hideMark/>
          </w:tcPr>
          <w:p w14:paraId="79D72FF5" w14:textId="77777777" w:rsidR="004D6816" w:rsidRPr="002B52CC" w:rsidRDefault="004D6816" w:rsidP="004D6816">
            <w:pPr>
              <w:spacing w:after="0" w:line="240" w:lineRule="auto"/>
              <w:jc w:val="both"/>
              <w:rPr>
                <w:rFonts w:ascii="Trebuchet MS" w:hAnsi="Trebuchet MS"/>
                <w:sz w:val="20"/>
                <w:szCs w:val="20"/>
                <w:lang w:val="fr-BJ"/>
              </w:rPr>
            </w:pPr>
            <w:r w:rsidRPr="002B52CC">
              <w:rPr>
                <w:rFonts w:ascii="Trebuchet MS" w:hAnsi="Trebuchet MS"/>
                <w:sz w:val="20"/>
                <w:szCs w:val="20"/>
                <w:lang w:val="fr-BJ"/>
              </w:rPr>
              <w:t>Contamination par hydrocarbures, dégradation de la qualité de l’eau</w:t>
            </w:r>
          </w:p>
        </w:tc>
      </w:tr>
      <w:tr w:rsidR="004D6816" w:rsidRPr="004D6816" w14:paraId="3C4070FF" w14:textId="77777777" w:rsidTr="00A45BB4">
        <w:trPr>
          <w:tblCellSpacing w:w="15" w:type="dxa"/>
        </w:trPr>
        <w:tc>
          <w:tcPr>
            <w:tcW w:w="0" w:type="auto"/>
            <w:vMerge/>
            <w:vAlign w:val="center"/>
            <w:hideMark/>
          </w:tcPr>
          <w:p w14:paraId="74123AB9" w14:textId="77777777" w:rsidR="004D6816" w:rsidRPr="002B52CC" w:rsidRDefault="004D6816" w:rsidP="004D6816">
            <w:pPr>
              <w:spacing w:after="0" w:line="240" w:lineRule="auto"/>
              <w:jc w:val="both"/>
              <w:rPr>
                <w:rFonts w:ascii="Trebuchet MS" w:hAnsi="Trebuchet MS"/>
                <w:sz w:val="20"/>
                <w:szCs w:val="20"/>
                <w:lang w:val="fr-BJ"/>
              </w:rPr>
            </w:pPr>
          </w:p>
        </w:tc>
        <w:tc>
          <w:tcPr>
            <w:tcW w:w="0" w:type="auto"/>
            <w:vAlign w:val="center"/>
            <w:hideMark/>
          </w:tcPr>
          <w:p w14:paraId="7A63D3B9" w14:textId="77777777" w:rsidR="004D6816" w:rsidRPr="002B52CC" w:rsidRDefault="004D6816" w:rsidP="004D6816">
            <w:pPr>
              <w:spacing w:after="0" w:line="240" w:lineRule="auto"/>
              <w:jc w:val="both"/>
              <w:rPr>
                <w:rFonts w:ascii="Trebuchet MS" w:hAnsi="Trebuchet MS"/>
                <w:sz w:val="20"/>
                <w:szCs w:val="20"/>
                <w:lang w:val="fr-BJ"/>
              </w:rPr>
            </w:pPr>
            <w:r w:rsidRPr="002B52CC">
              <w:rPr>
                <w:rFonts w:ascii="Trebuchet MS" w:hAnsi="Trebuchet MS"/>
                <w:sz w:val="20"/>
                <w:szCs w:val="20"/>
                <w:lang w:val="fr-BJ"/>
              </w:rPr>
              <w:t>Végétation/faune</w:t>
            </w:r>
          </w:p>
        </w:tc>
        <w:tc>
          <w:tcPr>
            <w:tcW w:w="5833" w:type="dxa"/>
            <w:vAlign w:val="center"/>
            <w:hideMark/>
          </w:tcPr>
          <w:p w14:paraId="62BE5E9C" w14:textId="77777777" w:rsidR="004D6816" w:rsidRPr="002B52CC" w:rsidRDefault="004D6816" w:rsidP="004D6816">
            <w:pPr>
              <w:spacing w:after="0" w:line="240" w:lineRule="auto"/>
              <w:jc w:val="both"/>
              <w:rPr>
                <w:rFonts w:ascii="Trebuchet MS" w:hAnsi="Trebuchet MS"/>
                <w:sz w:val="20"/>
                <w:szCs w:val="20"/>
                <w:lang w:val="fr-BJ"/>
              </w:rPr>
            </w:pPr>
            <w:r w:rsidRPr="002B52CC">
              <w:rPr>
                <w:rFonts w:ascii="Trebuchet MS" w:hAnsi="Trebuchet MS"/>
                <w:sz w:val="20"/>
                <w:szCs w:val="20"/>
                <w:lang w:val="fr-BJ"/>
              </w:rPr>
              <w:t>Dégradation en bordure de routes, mortalité animale par collision</w:t>
            </w:r>
          </w:p>
        </w:tc>
      </w:tr>
      <w:tr w:rsidR="004D6816" w:rsidRPr="004D6816" w14:paraId="03D0E3D5" w14:textId="77777777" w:rsidTr="00A45BB4">
        <w:trPr>
          <w:tblCellSpacing w:w="15" w:type="dxa"/>
        </w:trPr>
        <w:tc>
          <w:tcPr>
            <w:tcW w:w="0" w:type="auto"/>
            <w:vMerge w:val="restart"/>
            <w:vAlign w:val="center"/>
            <w:hideMark/>
          </w:tcPr>
          <w:p w14:paraId="0F3BB6D0" w14:textId="77777777" w:rsidR="004D6816" w:rsidRPr="002B52CC" w:rsidRDefault="004D6816" w:rsidP="004D6816">
            <w:pPr>
              <w:spacing w:after="0" w:line="240" w:lineRule="auto"/>
              <w:jc w:val="both"/>
              <w:rPr>
                <w:rFonts w:ascii="Trebuchet MS" w:hAnsi="Trebuchet MS"/>
                <w:sz w:val="20"/>
                <w:szCs w:val="20"/>
                <w:lang w:val="fr-BJ"/>
              </w:rPr>
            </w:pPr>
            <w:r w:rsidRPr="002B52CC">
              <w:rPr>
                <w:rFonts w:ascii="Trebuchet MS" w:hAnsi="Trebuchet MS"/>
                <w:b/>
                <w:bCs/>
                <w:sz w:val="20"/>
                <w:szCs w:val="20"/>
                <w:lang w:val="fr-BJ"/>
              </w:rPr>
              <w:t>Érosion pluviale</w:t>
            </w:r>
          </w:p>
        </w:tc>
        <w:tc>
          <w:tcPr>
            <w:tcW w:w="0" w:type="auto"/>
            <w:vAlign w:val="center"/>
            <w:hideMark/>
          </w:tcPr>
          <w:p w14:paraId="00E10AAE" w14:textId="77777777" w:rsidR="004D6816" w:rsidRPr="002B52CC" w:rsidRDefault="004D6816" w:rsidP="004D6816">
            <w:pPr>
              <w:spacing w:after="0" w:line="240" w:lineRule="auto"/>
              <w:jc w:val="both"/>
              <w:rPr>
                <w:rFonts w:ascii="Trebuchet MS" w:hAnsi="Trebuchet MS"/>
                <w:sz w:val="20"/>
                <w:szCs w:val="20"/>
                <w:lang w:val="fr-BJ"/>
              </w:rPr>
            </w:pPr>
            <w:r w:rsidRPr="002B52CC">
              <w:rPr>
                <w:rFonts w:ascii="Trebuchet MS" w:hAnsi="Trebuchet MS"/>
                <w:sz w:val="20"/>
                <w:szCs w:val="20"/>
                <w:lang w:val="fr-BJ"/>
              </w:rPr>
              <w:t>Sol</w:t>
            </w:r>
          </w:p>
        </w:tc>
        <w:tc>
          <w:tcPr>
            <w:tcW w:w="5833" w:type="dxa"/>
            <w:vAlign w:val="center"/>
            <w:hideMark/>
          </w:tcPr>
          <w:p w14:paraId="546362C4" w14:textId="77777777" w:rsidR="004D6816" w:rsidRPr="002B52CC" w:rsidRDefault="004D6816" w:rsidP="004D6816">
            <w:pPr>
              <w:spacing w:after="0" w:line="240" w:lineRule="auto"/>
              <w:jc w:val="both"/>
              <w:rPr>
                <w:rFonts w:ascii="Trebuchet MS" w:hAnsi="Trebuchet MS"/>
                <w:sz w:val="20"/>
                <w:szCs w:val="20"/>
                <w:lang w:val="fr-BJ"/>
              </w:rPr>
            </w:pPr>
            <w:r w:rsidRPr="002B52CC">
              <w:rPr>
                <w:rFonts w:ascii="Trebuchet MS" w:hAnsi="Trebuchet MS"/>
                <w:sz w:val="20"/>
                <w:szCs w:val="20"/>
                <w:lang w:val="fr-BJ"/>
              </w:rPr>
              <w:t>Déplacement de sol, perte de fertilité, pollution des eaux de surface</w:t>
            </w:r>
          </w:p>
        </w:tc>
      </w:tr>
      <w:tr w:rsidR="004D6816" w:rsidRPr="004D6816" w14:paraId="76F82918" w14:textId="77777777" w:rsidTr="00A45BB4">
        <w:trPr>
          <w:tblCellSpacing w:w="15" w:type="dxa"/>
        </w:trPr>
        <w:tc>
          <w:tcPr>
            <w:tcW w:w="0" w:type="auto"/>
            <w:vMerge/>
            <w:vAlign w:val="center"/>
            <w:hideMark/>
          </w:tcPr>
          <w:p w14:paraId="7FC10D29" w14:textId="77777777" w:rsidR="004D6816" w:rsidRPr="002B52CC" w:rsidRDefault="004D6816" w:rsidP="004D6816">
            <w:pPr>
              <w:spacing w:after="0" w:line="240" w:lineRule="auto"/>
              <w:jc w:val="both"/>
              <w:rPr>
                <w:rFonts w:ascii="Trebuchet MS" w:hAnsi="Trebuchet MS"/>
                <w:sz w:val="20"/>
                <w:szCs w:val="20"/>
                <w:lang w:val="fr-BJ"/>
              </w:rPr>
            </w:pPr>
          </w:p>
        </w:tc>
        <w:tc>
          <w:tcPr>
            <w:tcW w:w="0" w:type="auto"/>
            <w:vAlign w:val="center"/>
            <w:hideMark/>
          </w:tcPr>
          <w:p w14:paraId="2C22D33C" w14:textId="77777777" w:rsidR="004D6816" w:rsidRPr="002B52CC" w:rsidRDefault="004D6816" w:rsidP="004D6816">
            <w:pPr>
              <w:spacing w:after="0" w:line="240" w:lineRule="auto"/>
              <w:jc w:val="both"/>
              <w:rPr>
                <w:rFonts w:ascii="Trebuchet MS" w:hAnsi="Trebuchet MS"/>
                <w:sz w:val="20"/>
                <w:szCs w:val="20"/>
                <w:lang w:val="fr-BJ"/>
              </w:rPr>
            </w:pPr>
            <w:r w:rsidRPr="002B52CC">
              <w:rPr>
                <w:rFonts w:ascii="Trebuchet MS" w:hAnsi="Trebuchet MS"/>
                <w:sz w:val="20"/>
                <w:szCs w:val="20"/>
                <w:lang w:val="fr-BJ"/>
              </w:rPr>
              <w:t>Végétation/faune</w:t>
            </w:r>
          </w:p>
        </w:tc>
        <w:tc>
          <w:tcPr>
            <w:tcW w:w="5833" w:type="dxa"/>
            <w:vAlign w:val="center"/>
            <w:hideMark/>
          </w:tcPr>
          <w:p w14:paraId="4F0E69A8" w14:textId="77777777" w:rsidR="004D6816" w:rsidRPr="002B52CC" w:rsidRDefault="004D6816" w:rsidP="004D6816">
            <w:pPr>
              <w:spacing w:after="0" w:line="240" w:lineRule="auto"/>
              <w:jc w:val="both"/>
              <w:rPr>
                <w:rFonts w:ascii="Trebuchet MS" w:hAnsi="Trebuchet MS"/>
                <w:sz w:val="20"/>
                <w:szCs w:val="20"/>
                <w:lang w:val="fr-BJ"/>
              </w:rPr>
            </w:pPr>
            <w:r w:rsidRPr="002B52CC">
              <w:rPr>
                <w:rFonts w:ascii="Trebuchet MS" w:hAnsi="Trebuchet MS"/>
                <w:sz w:val="20"/>
                <w:szCs w:val="20"/>
                <w:lang w:val="fr-BJ"/>
              </w:rPr>
              <w:t>Déracinement des arbres, perte d’habitats naturels</w:t>
            </w:r>
          </w:p>
        </w:tc>
      </w:tr>
      <w:tr w:rsidR="004D6816" w:rsidRPr="002B52CC" w14:paraId="66FE21FE" w14:textId="77777777" w:rsidTr="00A45BB4">
        <w:trPr>
          <w:trHeight w:val="495"/>
          <w:tblCellSpacing w:w="15" w:type="dxa"/>
        </w:trPr>
        <w:tc>
          <w:tcPr>
            <w:tcW w:w="0" w:type="auto"/>
            <w:vAlign w:val="center"/>
            <w:hideMark/>
          </w:tcPr>
          <w:p w14:paraId="294D8078" w14:textId="77777777" w:rsidR="004D6816" w:rsidRPr="002B52CC" w:rsidRDefault="004D6816" w:rsidP="004D6816">
            <w:pPr>
              <w:spacing w:after="0" w:line="240" w:lineRule="auto"/>
              <w:jc w:val="both"/>
              <w:rPr>
                <w:rFonts w:ascii="Trebuchet MS" w:hAnsi="Trebuchet MS"/>
                <w:sz w:val="20"/>
                <w:szCs w:val="20"/>
                <w:lang w:val="fr-BJ"/>
              </w:rPr>
            </w:pPr>
            <w:r w:rsidRPr="002B52CC">
              <w:rPr>
                <w:rFonts w:ascii="Trebuchet MS" w:hAnsi="Trebuchet MS"/>
                <w:b/>
                <w:bCs/>
                <w:sz w:val="20"/>
                <w:szCs w:val="20"/>
                <w:lang w:val="fr-BJ"/>
              </w:rPr>
              <w:lastRenderedPageBreak/>
              <w:t>Conflits agro-pastoraux</w:t>
            </w:r>
          </w:p>
        </w:tc>
        <w:tc>
          <w:tcPr>
            <w:tcW w:w="0" w:type="auto"/>
            <w:vAlign w:val="center"/>
            <w:hideMark/>
          </w:tcPr>
          <w:p w14:paraId="1D465416" w14:textId="77777777" w:rsidR="004D6816" w:rsidRPr="002B52CC" w:rsidRDefault="004D6816" w:rsidP="004D6816">
            <w:pPr>
              <w:spacing w:after="0" w:line="240" w:lineRule="auto"/>
              <w:jc w:val="both"/>
              <w:rPr>
                <w:rFonts w:ascii="Trebuchet MS" w:hAnsi="Trebuchet MS"/>
                <w:sz w:val="20"/>
                <w:szCs w:val="20"/>
                <w:lang w:val="fr-BJ"/>
              </w:rPr>
            </w:pPr>
            <w:r w:rsidRPr="002B52CC">
              <w:rPr>
                <w:rFonts w:ascii="Trebuchet MS" w:hAnsi="Trebuchet MS"/>
                <w:sz w:val="20"/>
                <w:szCs w:val="20"/>
                <w:lang w:val="fr-BJ"/>
              </w:rPr>
              <w:t>Sol/faune/végétation</w:t>
            </w:r>
          </w:p>
        </w:tc>
        <w:tc>
          <w:tcPr>
            <w:tcW w:w="5833" w:type="dxa"/>
            <w:vAlign w:val="center"/>
            <w:hideMark/>
          </w:tcPr>
          <w:p w14:paraId="2E149753" w14:textId="77777777" w:rsidR="004D6816" w:rsidRPr="002B52CC" w:rsidRDefault="004D6816" w:rsidP="004D6816">
            <w:pPr>
              <w:spacing w:after="0" w:line="240" w:lineRule="auto"/>
              <w:jc w:val="both"/>
              <w:rPr>
                <w:rFonts w:ascii="Trebuchet MS" w:hAnsi="Trebuchet MS"/>
                <w:sz w:val="20"/>
                <w:szCs w:val="20"/>
                <w:lang w:val="fr-BJ"/>
              </w:rPr>
            </w:pPr>
            <w:r w:rsidRPr="002B52CC">
              <w:rPr>
                <w:rFonts w:ascii="Trebuchet MS" w:hAnsi="Trebuchet MS"/>
                <w:sz w:val="20"/>
                <w:szCs w:val="20"/>
                <w:lang w:val="fr-BJ"/>
              </w:rPr>
              <w:t>Dégradation des terres, perte de biodiversité, destruction de l’environnement naturel</w:t>
            </w:r>
          </w:p>
        </w:tc>
      </w:tr>
    </w:tbl>
    <w:p w14:paraId="272F944D" w14:textId="09EF637C" w:rsidR="00F16622" w:rsidRPr="00F16622" w:rsidRDefault="00F16622" w:rsidP="00804901">
      <w:pPr>
        <w:tabs>
          <w:tab w:val="left" w:pos="4286"/>
        </w:tabs>
        <w:spacing w:after="0" w:line="360" w:lineRule="auto"/>
        <w:jc w:val="both"/>
        <w:rPr>
          <w:rFonts w:ascii="Trebuchet MS" w:hAnsi="Trebuchet MS" w:cs="Times New Roman"/>
          <w:sz w:val="18"/>
          <w:szCs w:val="18"/>
        </w:rPr>
      </w:pPr>
      <w:r w:rsidRPr="00F16622">
        <w:rPr>
          <w:rFonts w:ascii="Trebuchet MS" w:hAnsi="Trebuchet MS" w:cs="Times New Roman"/>
          <w:b/>
          <w:bCs/>
          <w:i/>
          <w:iCs/>
          <w:sz w:val="18"/>
          <w:szCs w:val="18"/>
        </w:rPr>
        <w:t>Source :</w:t>
      </w:r>
      <w:r w:rsidRPr="00F16622">
        <w:rPr>
          <w:rFonts w:ascii="Trebuchet MS" w:hAnsi="Trebuchet MS" w:cs="Times New Roman"/>
          <w:sz w:val="18"/>
          <w:szCs w:val="18"/>
        </w:rPr>
        <w:t xml:space="preserve"> Travaux de terrain, février 2024</w:t>
      </w:r>
      <w:r w:rsidR="00804901">
        <w:rPr>
          <w:rFonts w:ascii="Trebuchet MS" w:hAnsi="Trebuchet MS" w:cs="Times New Roman"/>
          <w:sz w:val="18"/>
          <w:szCs w:val="18"/>
        </w:rPr>
        <w:tab/>
      </w:r>
    </w:p>
    <w:p w14:paraId="5C510D4E" w14:textId="0A699876" w:rsidR="004D6816" w:rsidRPr="00F16622" w:rsidRDefault="004D6816" w:rsidP="00804901">
      <w:pPr>
        <w:pStyle w:val="Paragraphedeliste"/>
        <w:numPr>
          <w:ilvl w:val="0"/>
          <w:numId w:val="17"/>
        </w:numPr>
        <w:spacing w:before="240" w:after="0" w:line="360" w:lineRule="auto"/>
        <w:jc w:val="both"/>
        <w:rPr>
          <w:rFonts w:ascii="Trebuchet MS" w:hAnsi="Trebuchet MS"/>
          <w:b/>
          <w:bCs/>
          <w:lang w:val="fr-BJ"/>
        </w:rPr>
      </w:pPr>
      <w:r w:rsidRPr="00F16622">
        <w:rPr>
          <w:rFonts w:ascii="Trebuchet MS" w:hAnsi="Trebuchet MS"/>
          <w:b/>
          <w:bCs/>
          <w:lang w:val="fr-BJ"/>
        </w:rPr>
        <w:t>Tableau 2 : Impacts économiques des risques à Natitingou</w:t>
      </w:r>
    </w:p>
    <w:tbl>
      <w:tblPr>
        <w:tblW w:w="1006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10"/>
        <w:gridCol w:w="2330"/>
        <w:gridCol w:w="5920"/>
      </w:tblGrid>
      <w:tr w:rsidR="004D6816" w:rsidRPr="002B52CC" w14:paraId="72E07040" w14:textId="77777777" w:rsidTr="00F16622">
        <w:trPr>
          <w:tblHeader/>
          <w:tblCellSpacing w:w="15" w:type="dxa"/>
        </w:trPr>
        <w:tc>
          <w:tcPr>
            <w:tcW w:w="0" w:type="auto"/>
            <w:vAlign w:val="center"/>
            <w:hideMark/>
          </w:tcPr>
          <w:p w14:paraId="2C7847E6" w14:textId="77777777" w:rsidR="004D6816" w:rsidRPr="002B52CC" w:rsidRDefault="004D6816" w:rsidP="004D6816">
            <w:pPr>
              <w:spacing w:after="0" w:line="240" w:lineRule="auto"/>
              <w:jc w:val="both"/>
              <w:rPr>
                <w:rFonts w:ascii="Trebuchet MS" w:hAnsi="Trebuchet MS"/>
                <w:b/>
                <w:bCs/>
                <w:sz w:val="20"/>
                <w:szCs w:val="20"/>
                <w:lang w:val="fr-BJ"/>
              </w:rPr>
            </w:pPr>
            <w:r w:rsidRPr="002B52CC">
              <w:rPr>
                <w:rFonts w:ascii="Trebuchet MS" w:hAnsi="Trebuchet MS"/>
                <w:b/>
                <w:bCs/>
                <w:sz w:val="20"/>
                <w:szCs w:val="20"/>
                <w:lang w:val="fr-BJ"/>
              </w:rPr>
              <w:t>Risque</w:t>
            </w:r>
          </w:p>
        </w:tc>
        <w:tc>
          <w:tcPr>
            <w:tcW w:w="0" w:type="auto"/>
            <w:vAlign w:val="center"/>
            <w:hideMark/>
          </w:tcPr>
          <w:p w14:paraId="1D6AFEE0" w14:textId="77777777" w:rsidR="004D6816" w:rsidRPr="002B52CC" w:rsidRDefault="004D6816" w:rsidP="004D6816">
            <w:pPr>
              <w:spacing w:after="0" w:line="240" w:lineRule="auto"/>
              <w:jc w:val="both"/>
              <w:rPr>
                <w:rFonts w:ascii="Trebuchet MS" w:hAnsi="Trebuchet MS"/>
                <w:b/>
                <w:bCs/>
                <w:sz w:val="20"/>
                <w:szCs w:val="20"/>
                <w:lang w:val="fr-BJ"/>
              </w:rPr>
            </w:pPr>
            <w:r w:rsidRPr="002B52CC">
              <w:rPr>
                <w:rFonts w:ascii="Trebuchet MS" w:hAnsi="Trebuchet MS"/>
                <w:b/>
                <w:bCs/>
                <w:sz w:val="20"/>
                <w:szCs w:val="20"/>
                <w:lang w:val="fr-BJ"/>
              </w:rPr>
              <w:t>Secteurs touchés</w:t>
            </w:r>
          </w:p>
        </w:tc>
        <w:tc>
          <w:tcPr>
            <w:tcW w:w="5875" w:type="dxa"/>
            <w:vAlign w:val="center"/>
            <w:hideMark/>
          </w:tcPr>
          <w:p w14:paraId="2CC09352" w14:textId="77777777" w:rsidR="004D6816" w:rsidRPr="002B52CC" w:rsidRDefault="004D6816" w:rsidP="004D6816">
            <w:pPr>
              <w:spacing w:after="0" w:line="240" w:lineRule="auto"/>
              <w:jc w:val="both"/>
              <w:rPr>
                <w:rFonts w:ascii="Trebuchet MS" w:hAnsi="Trebuchet MS"/>
                <w:b/>
                <w:bCs/>
                <w:sz w:val="20"/>
                <w:szCs w:val="20"/>
                <w:lang w:val="fr-BJ"/>
              </w:rPr>
            </w:pPr>
            <w:r w:rsidRPr="002B52CC">
              <w:rPr>
                <w:rFonts w:ascii="Trebuchet MS" w:hAnsi="Trebuchet MS"/>
                <w:b/>
                <w:bCs/>
                <w:sz w:val="20"/>
                <w:szCs w:val="20"/>
                <w:lang w:val="fr-BJ"/>
              </w:rPr>
              <w:t>Principaux impacts économiques</w:t>
            </w:r>
          </w:p>
        </w:tc>
      </w:tr>
      <w:tr w:rsidR="004D6816" w:rsidRPr="002B52CC" w14:paraId="3D70F509" w14:textId="77777777" w:rsidTr="00F16622">
        <w:trPr>
          <w:tblCellSpacing w:w="15" w:type="dxa"/>
        </w:trPr>
        <w:tc>
          <w:tcPr>
            <w:tcW w:w="0" w:type="auto"/>
            <w:vAlign w:val="center"/>
            <w:hideMark/>
          </w:tcPr>
          <w:p w14:paraId="273F41AF" w14:textId="77777777" w:rsidR="004D6816" w:rsidRPr="002B52CC" w:rsidRDefault="004D6816" w:rsidP="004D6816">
            <w:pPr>
              <w:spacing w:after="0" w:line="240" w:lineRule="auto"/>
              <w:jc w:val="both"/>
              <w:rPr>
                <w:rFonts w:ascii="Trebuchet MS" w:hAnsi="Trebuchet MS"/>
                <w:sz w:val="20"/>
                <w:szCs w:val="20"/>
                <w:lang w:val="fr-BJ"/>
              </w:rPr>
            </w:pPr>
            <w:r w:rsidRPr="002B52CC">
              <w:rPr>
                <w:rFonts w:ascii="Trebuchet MS" w:hAnsi="Trebuchet MS"/>
                <w:b/>
                <w:bCs/>
                <w:sz w:val="20"/>
                <w:szCs w:val="20"/>
                <w:lang w:val="fr-BJ"/>
              </w:rPr>
              <w:t>Sécheresse</w:t>
            </w:r>
          </w:p>
        </w:tc>
        <w:tc>
          <w:tcPr>
            <w:tcW w:w="0" w:type="auto"/>
            <w:vAlign w:val="center"/>
            <w:hideMark/>
          </w:tcPr>
          <w:p w14:paraId="40C7A8EC" w14:textId="77777777" w:rsidR="004D6816" w:rsidRPr="002B52CC" w:rsidRDefault="004D6816" w:rsidP="004D6816">
            <w:pPr>
              <w:spacing w:after="0" w:line="240" w:lineRule="auto"/>
              <w:jc w:val="both"/>
              <w:rPr>
                <w:rFonts w:ascii="Trebuchet MS" w:hAnsi="Trebuchet MS"/>
                <w:sz w:val="20"/>
                <w:szCs w:val="20"/>
                <w:lang w:val="fr-BJ"/>
              </w:rPr>
            </w:pPr>
            <w:r w:rsidRPr="002B52CC">
              <w:rPr>
                <w:rFonts w:ascii="Trebuchet MS" w:hAnsi="Trebuchet MS"/>
                <w:sz w:val="20"/>
                <w:szCs w:val="20"/>
                <w:lang w:val="fr-BJ"/>
              </w:rPr>
              <w:t>Agriculture / Élevage / Commerce</w:t>
            </w:r>
          </w:p>
        </w:tc>
        <w:tc>
          <w:tcPr>
            <w:tcW w:w="5875" w:type="dxa"/>
            <w:vAlign w:val="center"/>
            <w:hideMark/>
          </w:tcPr>
          <w:p w14:paraId="46A8311D" w14:textId="77777777" w:rsidR="004D6816" w:rsidRPr="002B52CC" w:rsidRDefault="004D6816" w:rsidP="004D6816">
            <w:pPr>
              <w:spacing w:after="0" w:line="240" w:lineRule="auto"/>
              <w:jc w:val="both"/>
              <w:rPr>
                <w:rFonts w:ascii="Trebuchet MS" w:hAnsi="Trebuchet MS"/>
                <w:sz w:val="20"/>
                <w:szCs w:val="20"/>
                <w:lang w:val="fr-BJ"/>
              </w:rPr>
            </w:pPr>
            <w:r w:rsidRPr="002B52CC">
              <w:rPr>
                <w:rFonts w:ascii="Trebuchet MS" w:hAnsi="Trebuchet MS"/>
                <w:sz w:val="20"/>
                <w:szCs w:val="20"/>
                <w:lang w:val="fr-BJ"/>
              </w:rPr>
              <w:t>Baisse de rendement, pertes de revenus, insécurité alimentaire, pauvreté, épizooties</w:t>
            </w:r>
          </w:p>
        </w:tc>
      </w:tr>
      <w:tr w:rsidR="004D6816" w:rsidRPr="002B52CC" w14:paraId="49A0534D" w14:textId="77777777" w:rsidTr="00F16622">
        <w:trPr>
          <w:tblCellSpacing w:w="15" w:type="dxa"/>
        </w:trPr>
        <w:tc>
          <w:tcPr>
            <w:tcW w:w="0" w:type="auto"/>
            <w:vAlign w:val="center"/>
            <w:hideMark/>
          </w:tcPr>
          <w:p w14:paraId="31752965" w14:textId="77777777" w:rsidR="004D6816" w:rsidRPr="002B52CC" w:rsidRDefault="004D6816" w:rsidP="004D6816">
            <w:pPr>
              <w:spacing w:after="0" w:line="240" w:lineRule="auto"/>
              <w:jc w:val="both"/>
              <w:rPr>
                <w:rFonts w:ascii="Trebuchet MS" w:hAnsi="Trebuchet MS"/>
                <w:sz w:val="20"/>
                <w:szCs w:val="20"/>
                <w:lang w:val="fr-BJ"/>
              </w:rPr>
            </w:pPr>
            <w:r w:rsidRPr="002B52CC">
              <w:rPr>
                <w:rFonts w:ascii="Trebuchet MS" w:hAnsi="Trebuchet MS"/>
                <w:b/>
                <w:bCs/>
                <w:sz w:val="20"/>
                <w:szCs w:val="20"/>
                <w:lang w:val="fr-BJ"/>
              </w:rPr>
              <w:t>Vents violents</w:t>
            </w:r>
          </w:p>
        </w:tc>
        <w:tc>
          <w:tcPr>
            <w:tcW w:w="0" w:type="auto"/>
            <w:vAlign w:val="center"/>
            <w:hideMark/>
          </w:tcPr>
          <w:p w14:paraId="76C1DA56" w14:textId="77777777" w:rsidR="004D6816" w:rsidRPr="002B52CC" w:rsidRDefault="004D6816" w:rsidP="004D6816">
            <w:pPr>
              <w:spacing w:after="0" w:line="240" w:lineRule="auto"/>
              <w:jc w:val="both"/>
              <w:rPr>
                <w:rFonts w:ascii="Trebuchet MS" w:hAnsi="Trebuchet MS"/>
                <w:sz w:val="20"/>
                <w:szCs w:val="20"/>
                <w:lang w:val="fr-BJ"/>
              </w:rPr>
            </w:pPr>
            <w:r w:rsidRPr="002B52CC">
              <w:rPr>
                <w:rFonts w:ascii="Trebuchet MS" w:hAnsi="Trebuchet MS"/>
                <w:sz w:val="20"/>
                <w:szCs w:val="20"/>
                <w:lang w:val="fr-BJ"/>
              </w:rPr>
              <w:t>Agriculture / Commerce / Élevage</w:t>
            </w:r>
          </w:p>
        </w:tc>
        <w:tc>
          <w:tcPr>
            <w:tcW w:w="5875" w:type="dxa"/>
            <w:vAlign w:val="center"/>
            <w:hideMark/>
          </w:tcPr>
          <w:p w14:paraId="05E1FC7F" w14:textId="77777777" w:rsidR="004D6816" w:rsidRPr="002B52CC" w:rsidRDefault="004D6816" w:rsidP="004D6816">
            <w:pPr>
              <w:spacing w:after="0" w:line="240" w:lineRule="auto"/>
              <w:jc w:val="both"/>
              <w:rPr>
                <w:rFonts w:ascii="Trebuchet MS" w:hAnsi="Trebuchet MS"/>
                <w:sz w:val="20"/>
                <w:szCs w:val="20"/>
                <w:lang w:val="fr-BJ"/>
              </w:rPr>
            </w:pPr>
            <w:r w:rsidRPr="002B52CC">
              <w:rPr>
                <w:rFonts w:ascii="Trebuchet MS" w:hAnsi="Trebuchet MS"/>
                <w:sz w:val="20"/>
                <w:szCs w:val="20"/>
                <w:lang w:val="fr-BJ"/>
              </w:rPr>
              <w:t>Destruction des cultures et cheptels, endettement, hausse des prix, faillites</w:t>
            </w:r>
          </w:p>
        </w:tc>
      </w:tr>
      <w:tr w:rsidR="004D6816" w:rsidRPr="002B52CC" w14:paraId="3D222E70" w14:textId="77777777" w:rsidTr="00F16622">
        <w:trPr>
          <w:tblCellSpacing w:w="15" w:type="dxa"/>
        </w:trPr>
        <w:tc>
          <w:tcPr>
            <w:tcW w:w="0" w:type="auto"/>
            <w:vAlign w:val="center"/>
            <w:hideMark/>
          </w:tcPr>
          <w:p w14:paraId="26A88F89" w14:textId="77777777" w:rsidR="004D6816" w:rsidRPr="002B52CC" w:rsidRDefault="004D6816" w:rsidP="004D6816">
            <w:pPr>
              <w:spacing w:after="0" w:line="240" w:lineRule="auto"/>
              <w:jc w:val="both"/>
              <w:rPr>
                <w:rFonts w:ascii="Trebuchet MS" w:hAnsi="Trebuchet MS"/>
                <w:sz w:val="20"/>
                <w:szCs w:val="20"/>
                <w:lang w:val="fr-BJ"/>
              </w:rPr>
            </w:pPr>
            <w:r w:rsidRPr="002B52CC">
              <w:rPr>
                <w:rFonts w:ascii="Trebuchet MS" w:hAnsi="Trebuchet MS"/>
                <w:b/>
                <w:bCs/>
                <w:sz w:val="20"/>
                <w:szCs w:val="20"/>
                <w:lang w:val="fr-BJ"/>
              </w:rPr>
              <w:t>Accidents de circulation</w:t>
            </w:r>
          </w:p>
        </w:tc>
        <w:tc>
          <w:tcPr>
            <w:tcW w:w="0" w:type="auto"/>
            <w:vAlign w:val="center"/>
            <w:hideMark/>
          </w:tcPr>
          <w:p w14:paraId="2B973717" w14:textId="77777777" w:rsidR="004D6816" w:rsidRPr="002B52CC" w:rsidRDefault="004D6816" w:rsidP="004D6816">
            <w:pPr>
              <w:spacing w:after="0" w:line="240" w:lineRule="auto"/>
              <w:jc w:val="both"/>
              <w:rPr>
                <w:rFonts w:ascii="Trebuchet MS" w:hAnsi="Trebuchet MS"/>
                <w:sz w:val="20"/>
                <w:szCs w:val="20"/>
                <w:lang w:val="fr-BJ"/>
              </w:rPr>
            </w:pPr>
            <w:r w:rsidRPr="002B52CC">
              <w:rPr>
                <w:rFonts w:ascii="Trebuchet MS" w:hAnsi="Trebuchet MS"/>
                <w:sz w:val="20"/>
                <w:szCs w:val="20"/>
                <w:lang w:val="fr-BJ"/>
              </w:rPr>
              <w:t>Transport / Commerce</w:t>
            </w:r>
          </w:p>
        </w:tc>
        <w:tc>
          <w:tcPr>
            <w:tcW w:w="5875" w:type="dxa"/>
            <w:vAlign w:val="center"/>
            <w:hideMark/>
          </w:tcPr>
          <w:p w14:paraId="6329294C" w14:textId="77777777" w:rsidR="004D6816" w:rsidRPr="002B52CC" w:rsidRDefault="004D6816" w:rsidP="004D6816">
            <w:pPr>
              <w:spacing w:after="0" w:line="240" w:lineRule="auto"/>
              <w:jc w:val="both"/>
              <w:rPr>
                <w:rFonts w:ascii="Trebuchet MS" w:hAnsi="Trebuchet MS"/>
                <w:sz w:val="20"/>
                <w:szCs w:val="20"/>
                <w:lang w:val="fr-BJ"/>
              </w:rPr>
            </w:pPr>
            <w:r w:rsidRPr="002B52CC">
              <w:rPr>
                <w:rFonts w:ascii="Trebuchet MS" w:hAnsi="Trebuchet MS"/>
                <w:sz w:val="20"/>
                <w:szCs w:val="20"/>
                <w:lang w:val="fr-BJ"/>
              </w:rPr>
              <w:t>Pertes de marchandises, endettement, perturbation des circuits économiques</w:t>
            </w:r>
          </w:p>
        </w:tc>
      </w:tr>
      <w:tr w:rsidR="004D6816" w:rsidRPr="002B52CC" w14:paraId="39754EA0" w14:textId="77777777" w:rsidTr="00F16622">
        <w:trPr>
          <w:tblCellSpacing w:w="15" w:type="dxa"/>
        </w:trPr>
        <w:tc>
          <w:tcPr>
            <w:tcW w:w="0" w:type="auto"/>
            <w:vAlign w:val="center"/>
            <w:hideMark/>
          </w:tcPr>
          <w:p w14:paraId="635C52C1" w14:textId="77777777" w:rsidR="004D6816" w:rsidRPr="002B52CC" w:rsidRDefault="004D6816" w:rsidP="004D6816">
            <w:pPr>
              <w:spacing w:after="0" w:line="240" w:lineRule="auto"/>
              <w:jc w:val="both"/>
              <w:rPr>
                <w:rFonts w:ascii="Trebuchet MS" w:hAnsi="Trebuchet MS"/>
                <w:sz w:val="20"/>
                <w:szCs w:val="20"/>
                <w:lang w:val="fr-BJ"/>
              </w:rPr>
            </w:pPr>
            <w:r w:rsidRPr="002B52CC">
              <w:rPr>
                <w:rFonts w:ascii="Trebuchet MS" w:hAnsi="Trebuchet MS"/>
                <w:b/>
                <w:bCs/>
                <w:sz w:val="20"/>
                <w:szCs w:val="20"/>
                <w:lang w:val="fr-BJ"/>
              </w:rPr>
              <w:t>Érosion pluviale</w:t>
            </w:r>
          </w:p>
        </w:tc>
        <w:tc>
          <w:tcPr>
            <w:tcW w:w="0" w:type="auto"/>
            <w:vAlign w:val="center"/>
            <w:hideMark/>
          </w:tcPr>
          <w:p w14:paraId="67DFAEAC" w14:textId="77777777" w:rsidR="004D6816" w:rsidRPr="002B52CC" w:rsidRDefault="004D6816" w:rsidP="004D6816">
            <w:pPr>
              <w:spacing w:after="0" w:line="240" w:lineRule="auto"/>
              <w:jc w:val="both"/>
              <w:rPr>
                <w:rFonts w:ascii="Trebuchet MS" w:hAnsi="Trebuchet MS"/>
                <w:sz w:val="20"/>
                <w:szCs w:val="20"/>
                <w:lang w:val="fr-BJ"/>
              </w:rPr>
            </w:pPr>
            <w:r w:rsidRPr="002B52CC">
              <w:rPr>
                <w:rFonts w:ascii="Trebuchet MS" w:hAnsi="Trebuchet MS"/>
                <w:sz w:val="20"/>
                <w:szCs w:val="20"/>
                <w:lang w:val="fr-BJ"/>
              </w:rPr>
              <w:t>Agriculture / Transport / Commerce</w:t>
            </w:r>
          </w:p>
        </w:tc>
        <w:tc>
          <w:tcPr>
            <w:tcW w:w="5875" w:type="dxa"/>
            <w:vAlign w:val="center"/>
            <w:hideMark/>
          </w:tcPr>
          <w:p w14:paraId="0B3CE04B" w14:textId="77777777" w:rsidR="004D6816" w:rsidRPr="002B52CC" w:rsidRDefault="004D6816" w:rsidP="004D6816">
            <w:pPr>
              <w:spacing w:after="0" w:line="240" w:lineRule="auto"/>
              <w:jc w:val="both"/>
              <w:rPr>
                <w:rFonts w:ascii="Trebuchet MS" w:hAnsi="Trebuchet MS"/>
                <w:sz w:val="20"/>
                <w:szCs w:val="20"/>
                <w:lang w:val="fr-BJ"/>
              </w:rPr>
            </w:pPr>
            <w:r w:rsidRPr="002B52CC">
              <w:rPr>
                <w:rFonts w:ascii="Trebuchet MS" w:hAnsi="Trebuchet MS"/>
                <w:sz w:val="20"/>
                <w:szCs w:val="20"/>
                <w:lang w:val="fr-BJ"/>
              </w:rPr>
              <w:t>Dégradation des pistes, baisse de rendement, pauvreté accrue</w:t>
            </w:r>
          </w:p>
        </w:tc>
      </w:tr>
      <w:tr w:rsidR="004D6816" w:rsidRPr="002B52CC" w14:paraId="4E9E1667" w14:textId="77777777" w:rsidTr="00F16622">
        <w:trPr>
          <w:tblCellSpacing w:w="15" w:type="dxa"/>
        </w:trPr>
        <w:tc>
          <w:tcPr>
            <w:tcW w:w="0" w:type="auto"/>
            <w:vAlign w:val="center"/>
            <w:hideMark/>
          </w:tcPr>
          <w:p w14:paraId="64561E80" w14:textId="77777777" w:rsidR="004D6816" w:rsidRPr="002B52CC" w:rsidRDefault="004D6816" w:rsidP="004D6816">
            <w:pPr>
              <w:spacing w:after="0" w:line="240" w:lineRule="auto"/>
              <w:jc w:val="both"/>
              <w:rPr>
                <w:rFonts w:ascii="Trebuchet MS" w:hAnsi="Trebuchet MS"/>
                <w:sz w:val="20"/>
                <w:szCs w:val="20"/>
                <w:lang w:val="fr-BJ"/>
              </w:rPr>
            </w:pPr>
            <w:r w:rsidRPr="002B52CC">
              <w:rPr>
                <w:rFonts w:ascii="Trebuchet MS" w:hAnsi="Trebuchet MS"/>
                <w:b/>
                <w:bCs/>
                <w:sz w:val="20"/>
                <w:szCs w:val="20"/>
                <w:lang w:val="fr-BJ"/>
              </w:rPr>
              <w:t>Conflits agro-pastoraux</w:t>
            </w:r>
          </w:p>
        </w:tc>
        <w:tc>
          <w:tcPr>
            <w:tcW w:w="0" w:type="auto"/>
            <w:vAlign w:val="center"/>
            <w:hideMark/>
          </w:tcPr>
          <w:p w14:paraId="56DCEE30" w14:textId="77777777" w:rsidR="004D6816" w:rsidRPr="002B52CC" w:rsidRDefault="004D6816" w:rsidP="004D6816">
            <w:pPr>
              <w:spacing w:after="0" w:line="240" w:lineRule="auto"/>
              <w:jc w:val="both"/>
              <w:rPr>
                <w:rFonts w:ascii="Trebuchet MS" w:hAnsi="Trebuchet MS"/>
                <w:sz w:val="20"/>
                <w:szCs w:val="20"/>
                <w:lang w:val="fr-BJ"/>
              </w:rPr>
            </w:pPr>
            <w:r w:rsidRPr="002B52CC">
              <w:rPr>
                <w:rFonts w:ascii="Trebuchet MS" w:hAnsi="Trebuchet MS"/>
                <w:sz w:val="20"/>
                <w:szCs w:val="20"/>
                <w:lang w:val="fr-BJ"/>
              </w:rPr>
              <w:t>Agriculture / Élevage / Commerce</w:t>
            </w:r>
          </w:p>
        </w:tc>
        <w:tc>
          <w:tcPr>
            <w:tcW w:w="5875" w:type="dxa"/>
            <w:vAlign w:val="center"/>
            <w:hideMark/>
          </w:tcPr>
          <w:p w14:paraId="74AA9188" w14:textId="77777777" w:rsidR="004D6816" w:rsidRPr="002B52CC" w:rsidRDefault="004D6816" w:rsidP="004D6816">
            <w:pPr>
              <w:spacing w:after="0" w:line="240" w:lineRule="auto"/>
              <w:jc w:val="both"/>
              <w:rPr>
                <w:rFonts w:ascii="Trebuchet MS" w:hAnsi="Trebuchet MS"/>
                <w:sz w:val="20"/>
                <w:szCs w:val="20"/>
                <w:lang w:val="fr-BJ"/>
              </w:rPr>
            </w:pPr>
            <w:r w:rsidRPr="002B52CC">
              <w:rPr>
                <w:rFonts w:ascii="Trebuchet MS" w:hAnsi="Trebuchet MS"/>
                <w:sz w:val="20"/>
                <w:szCs w:val="20"/>
                <w:lang w:val="fr-BJ"/>
              </w:rPr>
              <w:t>Destruction de biens, pertes économiques, pillages, insécurité alimentaire</w:t>
            </w:r>
          </w:p>
        </w:tc>
      </w:tr>
    </w:tbl>
    <w:p w14:paraId="5F96FB8C" w14:textId="482BCA87" w:rsidR="00F16622" w:rsidRPr="00F16622" w:rsidRDefault="00F16622" w:rsidP="00804901">
      <w:pPr>
        <w:spacing w:before="120" w:after="0" w:line="360" w:lineRule="auto"/>
        <w:jc w:val="both"/>
        <w:rPr>
          <w:rFonts w:ascii="Trebuchet MS" w:hAnsi="Trebuchet MS" w:cs="Times New Roman"/>
          <w:sz w:val="18"/>
          <w:szCs w:val="18"/>
        </w:rPr>
      </w:pPr>
      <w:r w:rsidRPr="00F16622">
        <w:rPr>
          <w:rFonts w:ascii="Trebuchet MS" w:hAnsi="Trebuchet MS" w:cs="Times New Roman"/>
          <w:b/>
          <w:bCs/>
          <w:i/>
          <w:iCs/>
          <w:sz w:val="18"/>
          <w:szCs w:val="18"/>
        </w:rPr>
        <w:t>Source :</w:t>
      </w:r>
      <w:r w:rsidRPr="00F16622">
        <w:rPr>
          <w:rFonts w:ascii="Trebuchet MS" w:hAnsi="Trebuchet MS" w:cs="Times New Roman"/>
          <w:sz w:val="18"/>
          <w:szCs w:val="18"/>
        </w:rPr>
        <w:t xml:space="preserve"> Travaux de terrain, février 2024</w:t>
      </w:r>
    </w:p>
    <w:p w14:paraId="7A88639F" w14:textId="5B53CA10" w:rsidR="004D6816" w:rsidRPr="00F16622" w:rsidRDefault="004D6816" w:rsidP="00F16622">
      <w:pPr>
        <w:pStyle w:val="Paragraphedeliste"/>
        <w:numPr>
          <w:ilvl w:val="0"/>
          <w:numId w:val="17"/>
        </w:numPr>
        <w:spacing w:before="240" w:after="200" w:line="360" w:lineRule="auto"/>
        <w:jc w:val="both"/>
        <w:rPr>
          <w:rFonts w:ascii="Trebuchet MS" w:hAnsi="Trebuchet MS"/>
          <w:b/>
          <w:bCs/>
          <w:sz w:val="24"/>
          <w:szCs w:val="24"/>
          <w:lang w:val="fr-BJ"/>
        </w:rPr>
      </w:pPr>
      <w:r w:rsidRPr="00F16622">
        <w:rPr>
          <w:rFonts w:ascii="Trebuchet MS" w:hAnsi="Trebuchet MS"/>
          <w:b/>
          <w:bCs/>
          <w:sz w:val="24"/>
          <w:szCs w:val="24"/>
          <w:lang w:val="fr-BJ"/>
        </w:rPr>
        <w:t>Tableau 3 : Impacts sociaux des risques à Natitingou</w:t>
      </w:r>
    </w:p>
    <w:tbl>
      <w:tblPr>
        <w:tblW w:w="1006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18"/>
        <w:gridCol w:w="2288"/>
        <w:gridCol w:w="5854"/>
      </w:tblGrid>
      <w:tr w:rsidR="004D6816" w:rsidRPr="002B52CC" w14:paraId="486F3E74" w14:textId="77777777" w:rsidTr="00F16622">
        <w:trPr>
          <w:tblHeader/>
          <w:tblCellSpacing w:w="15" w:type="dxa"/>
        </w:trPr>
        <w:tc>
          <w:tcPr>
            <w:tcW w:w="0" w:type="auto"/>
            <w:vAlign w:val="center"/>
            <w:hideMark/>
          </w:tcPr>
          <w:p w14:paraId="5D62CEB5" w14:textId="77777777" w:rsidR="004D6816" w:rsidRPr="002B52CC" w:rsidRDefault="004D6816" w:rsidP="004D6816">
            <w:pPr>
              <w:spacing w:after="0" w:line="240" w:lineRule="auto"/>
              <w:jc w:val="both"/>
              <w:rPr>
                <w:rFonts w:ascii="Trebuchet MS" w:hAnsi="Trebuchet MS"/>
                <w:b/>
                <w:bCs/>
                <w:lang w:val="fr-BJ"/>
              </w:rPr>
            </w:pPr>
            <w:r w:rsidRPr="002B52CC">
              <w:rPr>
                <w:rFonts w:ascii="Trebuchet MS" w:hAnsi="Trebuchet MS"/>
                <w:b/>
                <w:bCs/>
                <w:lang w:val="fr-BJ"/>
              </w:rPr>
              <w:t>Risque</w:t>
            </w:r>
          </w:p>
        </w:tc>
        <w:tc>
          <w:tcPr>
            <w:tcW w:w="0" w:type="auto"/>
            <w:vAlign w:val="center"/>
            <w:hideMark/>
          </w:tcPr>
          <w:p w14:paraId="32A0F103" w14:textId="77777777" w:rsidR="004D6816" w:rsidRPr="002B52CC" w:rsidRDefault="004D6816" w:rsidP="004D6816">
            <w:pPr>
              <w:spacing w:after="0" w:line="240" w:lineRule="auto"/>
              <w:jc w:val="both"/>
              <w:rPr>
                <w:rFonts w:ascii="Trebuchet MS" w:hAnsi="Trebuchet MS"/>
                <w:b/>
                <w:bCs/>
                <w:lang w:val="fr-BJ"/>
              </w:rPr>
            </w:pPr>
            <w:r w:rsidRPr="002B52CC">
              <w:rPr>
                <w:rFonts w:ascii="Trebuchet MS" w:hAnsi="Trebuchet MS"/>
                <w:b/>
                <w:bCs/>
                <w:lang w:val="fr-BJ"/>
              </w:rPr>
              <w:t>Domaines concernés</w:t>
            </w:r>
          </w:p>
        </w:tc>
        <w:tc>
          <w:tcPr>
            <w:tcW w:w="5809" w:type="dxa"/>
            <w:vAlign w:val="center"/>
            <w:hideMark/>
          </w:tcPr>
          <w:p w14:paraId="634AD236" w14:textId="77777777" w:rsidR="004D6816" w:rsidRPr="002B52CC" w:rsidRDefault="004D6816" w:rsidP="004D6816">
            <w:pPr>
              <w:spacing w:after="0" w:line="240" w:lineRule="auto"/>
              <w:jc w:val="both"/>
              <w:rPr>
                <w:rFonts w:ascii="Trebuchet MS" w:hAnsi="Trebuchet MS"/>
                <w:b/>
                <w:bCs/>
                <w:lang w:val="fr-BJ"/>
              </w:rPr>
            </w:pPr>
            <w:r w:rsidRPr="002B52CC">
              <w:rPr>
                <w:rFonts w:ascii="Trebuchet MS" w:hAnsi="Trebuchet MS"/>
                <w:b/>
                <w:bCs/>
                <w:lang w:val="fr-BJ"/>
              </w:rPr>
              <w:t>Principaux impacts sociaux</w:t>
            </w:r>
          </w:p>
        </w:tc>
      </w:tr>
      <w:tr w:rsidR="004D6816" w:rsidRPr="002B52CC" w14:paraId="2E5472D9" w14:textId="77777777" w:rsidTr="00F16622">
        <w:trPr>
          <w:tblCellSpacing w:w="15" w:type="dxa"/>
        </w:trPr>
        <w:tc>
          <w:tcPr>
            <w:tcW w:w="0" w:type="auto"/>
            <w:vAlign w:val="center"/>
            <w:hideMark/>
          </w:tcPr>
          <w:p w14:paraId="6EBBC400" w14:textId="77777777" w:rsidR="004D6816" w:rsidRPr="002B52CC" w:rsidRDefault="004D6816" w:rsidP="004D6816">
            <w:pPr>
              <w:spacing w:after="0" w:line="240" w:lineRule="auto"/>
              <w:jc w:val="both"/>
              <w:rPr>
                <w:rFonts w:ascii="Trebuchet MS" w:hAnsi="Trebuchet MS"/>
                <w:lang w:val="fr-BJ"/>
              </w:rPr>
            </w:pPr>
            <w:r w:rsidRPr="002B52CC">
              <w:rPr>
                <w:rFonts w:ascii="Trebuchet MS" w:hAnsi="Trebuchet MS"/>
                <w:b/>
                <w:bCs/>
                <w:lang w:val="fr-BJ"/>
              </w:rPr>
              <w:t>Sécheresse</w:t>
            </w:r>
          </w:p>
        </w:tc>
        <w:tc>
          <w:tcPr>
            <w:tcW w:w="0" w:type="auto"/>
            <w:vAlign w:val="center"/>
            <w:hideMark/>
          </w:tcPr>
          <w:p w14:paraId="345B285D" w14:textId="77777777" w:rsidR="004D6816" w:rsidRPr="002B52CC" w:rsidRDefault="004D6816" w:rsidP="004D6816">
            <w:pPr>
              <w:spacing w:after="0" w:line="240" w:lineRule="auto"/>
              <w:jc w:val="both"/>
              <w:rPr>
                <w:rFonts w:ascii="Trebuchet MS" w:hAnsi="Trebuchet MS"/>
                <w:lang w:val="fr-BJ"/>
              </w:rPr>
            </w:pPr>
            <w:r w:rsidRPr="002B52CC">
              <w:rPr>
                <w:rFonts w:ascii="Trebuchet MS" w:hAnsi="Trebuchet MS"/>
                <w:lang w:val="fr-BJ"/>
              </w:rPr>
              <w:t>Santé / Alimentation / Sécurité</w:t>
            </w:r>
          </w:p>
        </w:tc>
        <w:tc>
          <w:tcPr>
            <w:tcW w:w="5809" w:type="dxa"/>
            <w:vAlign w:val="center"/>
            <w:hideMark/>
          </w:tcPr>
          <w:p w14:paraId="28285513" w14:textId="77777777" w:rsidR="004D6816" w:rsidRPr="002B52CC" w:rsidRDefault="004D6816" w:rsidP="004D6816">
            <w:pPr>
              <w:spacing w:after="0" w:line="240" w:lineRule="auto"/>
              <w:jc w:val="both"/>
              <w:rPr>
                <w:rFonts w:ascii="Trebuchet MS" w:hAnsi="Trebuchet MS"/>
                <w:lang w:val="fr-BJ"/>
              </w:rPr>
            </w:pPr>
            <w:r w:rsidRPr="002B52CC">
              <w:rPr>
                <w:rFonts w:ascii="Trebuchet MS" w:hAnsi="Trebuchet MS"/>
                <w:lang w:val="fr-BJ"/>
              </w:rPr>
              <w:t>Malnutrition, maladies hydriques, conflits pour l’eau, mortalité infantile</w:t>
            </w:r>
          </w:p>
        </w:tc>
      </w:tr>
      <w:tr w:rsidR="004D6816" w:rsidRPr="002B52CC" w14:paraId="43C6CBA4" w14:textId="77777777" w:rsidTr="00F16622">
        <w:trPr>
          <w:tblCellSpacing w:w="15" w:type="dxa"/>
        </w:trPr>
        <w:tc>
          <w:tcPr>
            <w:tcW w:w="0" w:type="auto"/>
            <w:vAlign w:val="center"/>
            <w:hideMark/>
          </w:tcPr>
          <w:p w14:paraId="78C6CA77" w14:textId="77777777" w:rsidR="004D6816" w:rsidRPr="002B52CC" w:rsidRDefault="004D6816" w:rsidP="004D6816">
            <w:pPr>
              <w:spacing w:after="0" w:line="240" w:lineRule="auto"/>
              <w:jc w:val="both"/>
              <w:rPr>
                <w:rFonts w:ascii="Trebuchet MS" w:hAnsi="Trebuchet MS"/>
                <w:lang w:val="fr-BJ"/>
              </w:rPr>
            </w:pPr>
            <w:r w:rsidRPr="002B52CC">
              <w:rPr>
                <w:rFonts w:ascii="Trebuchet MS" w:hAnsi="Trebuchet MS"/>
                <w:b/>
                <w:bCs/>
                <w:lang w:val="fr-BJ"/>
              </w:rPr>
              <w:t>Vents violents</w:t>
            </w:r>
          </w:p>
        </w:tc>
        <w:tc>
          <w:tcPr>
            <w:tcW w:w="0" w:type="auto"/>
            <w:vAlign w:val="center"/>
            <w:hideMark/>
          </w:tcPr>
          <w:p w14:paraId="7D523D0D" w14:textId="77777777" w:rsidR="004D6816" w:rsidRPr="002B52CC" w:rsidRDefault="004D6816" w:rsidP="004D6816">
            <w:pPr>
              <w:spacing w:after="0" w:line="240" w:lineRule="auto"/>
              <w:jc w:val="both"/>
              <w:rPr>
                <w:rFonts w:ascii="Trebuchet MS" w:hAnsi="Trebuchet MS"/>
                <w:lang w:val="fr-BJ"/>
              </w:rPr>
            </w:pPr>
            <w:r w:rsidRPr="002B52CC">
              <w:rPr>
                <w:rFonts w:ascii="Trebuchet MS" w:hAnsi="Trebuchet MS"/>
                <w:lang w:val="fr-BJ"/>
              </w:rPr>
              <w:t>Santé / Alimentation / Habitat</w:t>
            </w:r>
          </w:p>
        </w:tc>
        <w:tc>
          <w:tcPr>
            <w:tcW w:w="5809" w:type="dxa"/>
            <w:vAlign w:val="center"/>
            <w:hideMark/>
          </w:tcPr>
          <w:p w14:paraId="56FD0572" w14:textId="77777777" w:rsidR="004D6816" w:rsidRPr="002B52CC" w:rsidRDefault="004D6816" w:rsidP="004D6816">
            <w:pPr>
              <w:spacing w:after="0" w:line="240" w:lineRule="auto"/>
              <w:jc w:val="both"/>
              <w:rPr>
                <w:rFonts w:ascii="Trebuchet MS" w:hAnsi="Trebuchet MS"/>
                <w:lang w:val="fr-BJ"/>
              </w:rPr>
            </w:pPr>
            <w:r w:rsidRPr="002B52CC">
              <w:rPr>
                <w:rFonts w:ascii="Trebuchet MS" w:hAnsi="Trebuchet MS"/>
                <w:lang w:val="fr-BJ"/>
              </w:rPr>
              <w:t>Maladies respiratoires, malnutrition, dommages aux habitations et biens</w:t>
            </w:r>
          </w:p>
        </w:tc>
      </w:tr>
      <w:tr w:rsidR="004D6816" w:rsidRPr="002B52CC" w14:paraId="1D114ADB" w14:textId="77777777" w:rsidTr="00F16622">
        <w:trPr>
          <w:tblCellSpacing w:w="15" w:type="dxa"/>
        </w:trPr>
        <w:tc>
          <w:tcPr>
            <w:tcW w:w="0" w:type="auto"/>
            <w:vAlign w:val="center"/>
            <w:hideMark/>
          </w:tcPr>
          <w:p w14:paraId="3C7F3BA1" w14:textId="77777777" w:rsidR="004D6816" w:rsidRPr="002B52CC" w:rsidRDefault="004D6816" w:rsidP="004D6816">
            <w:pPr>
              <w:spacing w:after="0" w:line="240" w:lineRule="auto"/>
              <w:jc w:val="both"/>
              <w:rPr>
                <w:rFonts w:ascii="Trebuchet MS" w:hAnsi="Trebuchet MS"/>
                <w:lang w:val="fr-BJ"/>
              </w:rPr>
            </w:pPr>
            <w:r w:rsidRPr="002B52CC">
              <w:rPr>
                <w:rFonts w:ascii="Trebuchet MS" w:hAnsi="Trebuchet MS"/>
                <w:b/>
                <w:bCs/>
                <w:lang w:val="fr-BJ"/>
              </w:rPr>
              <w:t>Accidents de circulation</w:t>
            </w:r>
          </w:p>
        </w:tc>
        <w:tc>
          <w:tcPr>
            <w:tcW w:w="0" w:type="auto"/>
            <w:vAlign w:val="center"/>
            <w:hideMark/>
          </w:tcPr>
          <w:p w14:paraId="781F5C49" w14:textId="77777777" w:rsidR="004D6816" w:rsidRPr="002B52CC" w:rsidRDefault="004D6816" w:rsidP="004D6816">
            <w:pPr>
              <w:spacing w:after="0" w:line="240" w:lineRule="auto"/>
              <w:jc w:val="both"/>
              <w:rPr>
                <w:rFonts w:ascii="Trebuchet MS" w:hAnsi="Trebuchet MS"/>
                <w:lang w:val="fr-BJ"/>
              </w:rPr>
            </w:pPr>
            <w:r w:rsidRPr="002B52CC">
              <w:rPr>
                <w:rFonts w:ascii="Trebuchet MS" w:hAnsi="Trebuchet MS"/>
                <w:lang w:val="fr-BJ"/>
              </w:rPr>
              <w:t>Santé / Sécurité</w:t>
            </w:r>
          </w:p>
        </w:tc>
        <w:tc>
          <w:tcPr>
            <w:tcW w:w="5809" w:type="dxa"/>
            <w:vAlign w:val="center"/>
            <w:hideMark/>
          </w:tcPr>
          <w:p w14:paraId="662463B0" w14:textId="77777777" w:rsidR="004D6816" w:rsidRPr="002B52CC" w:rsidRDefault="004D6816" w:rsidP="004D6816">
            <w:pPr>
              <w:spacing w:after="0" w:line="240" w:lineRule="auto"/>
              <w:jc w:val="both"/>
              <w:rPr>
                <w:rFonts w:ascii="Trebuchet MS" w:hAnsi="Trebuchet MS"/>
                <w:lang w:val="fr-BJ"/>
              </w:rPr>
            </w:pPr>
            <w:r w:rsidRPr="002B52CC">
              <w:rPr>
                <w:rFonts w:ascii="Trebuchet MS" w:hAnsi="Trebuchet MS"/>
                <w:lang w:val="fr-BJ"/>
              </w:rPr>
              <w:t>Blessures, décès, traumatismes psychologiques</w:t>
            </w:r>
          </w:p>
        </w:tc>
      </w:tr>
      <w:tr w:rsidR="004D6816" w:rsidRPr="002B52CC" w14:paraId="6D01F692" w14:textId="77777777" w:rsidTr="00F16622">
        <w:trPr>
          <w:tblCellSpacing w:w="15" w:type="dxa"/>
        </w:trPr>
        <w:tc>
          <w:tcPr>
            <w:tcW w:w="0" w:type="auto"/>
            <w:vAlign w:val="center"/>
            <w:hideMark/>
          </w:tcPr>
          <w:p w14:paraId="3B7166F6" w14:textId="77777777" w:rsidR="004D6816" w:rsidRPr="002B52CC" w:rsidRDefault="004D6816" w:rsidP="004D6816">
            <w:pPr>
              <w:spacing w:after="0" w:line="240" w:lineRule="auto"/>
              <w:jc w:val="both"/>
              <w:rPr>
                <w:rFonts w:ascii="Trebuchet MS" w:hAnsi="Trebuchet MS"/>
                <w:lang w:val="fr-BJ"/>
              </w:rPr>
            </w:pPr>
            <w:r w:rsidRPr="002B52CC">
              <w:rPr>
                <w:rFonts w:ascii="Trebuchet MS" w:hAnsi="Trebuchet MS"/>
                <w:b/>
                <w:bCs/>
                <w:lang w:val="fr-BJ"/>
              </w:rPr>
              <w:t>Érosion pluviale</w:t>
            </w:r>
          </w:p>
        </w:tc>
        <w:tc>
          <w:tcPr>
            <w:tcW w:w="0" w:type="auto"/>
            <w:vAlign w:val="center"/>
            <w:hideMark/>
          </w:tcPr>
          <w:p w14:paraId="0887B613" w14:textId="77777777" w:rsidR="004D6816" w:rsidRPr="002B52CC" w:rsidRDefault="004D6816" w:rsidP="004D6816">
            <w:pPr>
              <w:spacing w:after="0" w:line="240" w:lineRule="auto"/>
              <w:jc w:val="both"/>
              <w:rPr>
                <w:rFonts w:ascii="Trebuchet MS" w:hAnsi="Trebuchet MS"/>
                <w:lang w:val="fr-BJ"/>
              </w:rPr>
            </w:pPr>
            <w:r w:rsidRPr="002B52CC">
              <w:rPr>
                <w:rFonts w:ascii="Trebuchet MS" w:hAnsi="Trebuchet MS"/>
                <w:lang w:val="fr-BJ"/>
              </w:rPr>
              <w:t>Santé / Alimentation</w:t>
            </w:r>
          </w:p>
        </w:tc>
        <w:tc>
          <w:tcPr>
            <w:tcW w:w="5809" w:type="dxa"/>
            <w:vAlign w:val="center"/>
            <w:hideMark/>
          </w:tcPr>
          <w:p w14:paraId="5960AE0C" w14:textId="77777777" w:rsidR="004D6816" w:rsidRPr="002B52CC" w:rsidRDefault="004D6816" w:rsidP="004D6816">
            <w:pPr>
              <w:spacing w:after="0" w:line="240" w:lineRule="auto"/>
              <w:jc w:val="both"/>
              <w:rPr>
                <w:rFonts w:ascii="Trebuchet MS" w:hAnsi="Trebuchet MS"/>
                <w:lang w:val="fr-BJ"/>
              </w:rPr>
            </w:pPr>
            <w:r w:rsidRPr="002B52CC">
              <w:rPr>
                <w:rFonts w:ascii="Trebuchet MS" w:hAnsi="Trebuchet MS"/>
                <w:lang w:val="fr-BJ"/>
              </w:rPr>
              <w:t>Famine, malnutrition, déplacements de population</w:t>
            </w:r>
          </w:p>
        </w:tc>
      </w:tr>
      <w:tr w:rsidR="004D6816" w:rsidRPr="002B52CC" w14:paraId="40096EE0" w14:textId="77777777" w:rsidTr="00F16622">
        <w:trPr>
          <w:tblCellSpacing w:w="15" w:type="dxa"/>
        </w:trPr>
        <w:tc>
          <w:tcPr>
            <w:tcW w:w="0" w:type="auto"/>
            <w:vAlign w:val="center"/>
            <w:hideMark/>
          </w:tcPr>
          <w:p w14:paraId="7F5D34AC" w14:textId="77777777" w:rsidR="004D6816" w:rsidRPr="002B52CC" w:rsidRDefault="004D6816" w:rsidP="004D6816">
            <w:pPr>
              <w:spacing w:after="0" w:line="240" w:lineRule="auto"/>
              <w:jc w:val="both"/>
              <w:rPr>
                <w:rFonts w:ascii="Trebuchet MS" w:hAnsi="Trebuchet MS"/>
                <w:lang w:val="fr-BJ"/>
              </w:rPr>
            </w:pPr>
            <w:r w:rsidRPr="002B52CC">
              <w:rPr>
                <w:rFonts w:ascii="Trebuchet MS" w:hAnsi="Trebuchet MS"/>
                <w:b/>
                <w:bCs/>
                <w:lang w:val="fr-BJ"/>
              </w:rPr>
              <w:t>Conflits agro-pastoraux</w:t>
            </w:r>
          </w:p>
        </w:tc>
        <w:tc>
          <w:tcPr>
            <w:tcW w:w="0" w:type="auto"/>
            <w:vAlign w:val="center"/>
            <w:hideMark/>
          </w:tcPr>
          <w:p w14:paraId="35BAB195" w14:textId="77777777" w:rsidR="004D6816" w:rsidRPr="002B52CC" w:rsidRDefault="004D6816" w:rsidP="004D6816">
            <w:pPr>
              <w:spacing w:after="0" w:line="240" w:lineRule="auto"/>
              <w:jc w:val="both"/>
              <w:rPr>
                <w:rFonts w:ascii="Trebuchet MS" w:hAnsi="Trebuchet MS"/>
                <w:lang w:val="fr-BJ"/>
              </w:rPr>
            </w:pPr>
            <w:r w:rsidRPr="002B52CC">
              <w:rPr>
                <w:rFonts w:ascii="Trebuchet MS" w:hAnsi="Trebuchet MS"/>
                <w:lang w:val="fr-BJ"/>
              </w:rPr>
              <w:t>Santé / Sécurité / Alimentation</w:t>
            </w:r>
          </w:p>
        </w:tc>
        <w:tc>
          <w:tcPr>
            <w:tcW w:w="5809" w:type="dxa"/>
            <w:vAlign w:val="center"/>
            <w:hideMark/>
          </w:tcPr>
          <w:p w14:paraId="563B67C9" w14:textId="77777777" w:rsidR="004D6816" w:rsidRPr="002B52CC" w:rsidRDefault="004D6816" w:rsidP="004D6816">
            <w:pPr>
              <w:spacing w:after="0" w:line="240" w:lineRule="auto"/>
              <w:jc w:val="both"/>
              <w:rPr>
                <w:rFonts w:ascii="Trebuchet MS" w:hAnsi="Trebuchet MS"/>
                <w:lang w:val="fr-BJ"/>
              </w:rPr>
            </w:pPr>
            <w:r w:rsidRPr="002B52CC">
              <w:rPr>
                <w:rFonts w:ascii="Trebuchet MS" w:hAnsi="Trebuchet MS"/>
                <w:lang w:val="fr-BJ"/>
              </w:rPr>
              <w:t>Violences communautaires, pertes humaines, famine, destruction des cultures</w:t>
            </w:r>
          </w:p>
        </w:tc>
      </w:tr>
    </w:tbl>
    <w:p w14:paraId="631872B7" w14:textId="1FA63FD6" w:rsidR="004D6816" w:rsidRPr="00804901" w:rsidRDefault="004D6816" w:rsidP="00804901">
      <w:pPr>
        <w:spacing w:before="120" w:after="120" w:line="360" w:lineRule="auto"/>
        <w:jc w:val="both"/>
        <w:rPr>
          <w:rFonts w:ascii="Trebuchet MS" w:hAnsi="Trebuchet MS" w:cs="Times New Roman"/>
          <w:sz w:val="18"/>
          <w:szCs w:val="18"/>
        </w:rPr>
      </w:pPr>
      <w:r w:rsidRPr="00834E2B">
        <w:rPr>
          <w:rFonts w:ascii="Trebuchet MS" w:hAnsi="Trebuchet MS"/>
          <w:sz w:val="24"/>
          <w:szCs w:val="24"/>
        </w:rPr>
        <w:t xml:space="preserve"> </w:t>
      </w:r>
      <w:r w:rsidR="00F16622" w:rsidRPr="00F16622">
        <w:rPr>
          <w:rFonts w:ascii="Trebuchet MS" w:hAnsi="Trebuchet MS" w:cs="Times New Roman"/>
          <w:b/>
          <w:bCs/>
          <w:i/>
          <w:iCs/>
          <w:sz w:val="18"/>
          <w:szCs w:val="18"/>
        </w:rPr>
        <w:t>Source :</w:t>
      </w:r>
      <w:r w:rsidR="00F16622" w:rsidRPr="00F16622">
        <w:rPr>
          <w:rFonts w:ascii="Trebuchet MS" w:hAnsi="Trebuchet MS" w:cs="Times New Roman"/>
          <w:sz w:val="18"/>
          <w:szCs w:val="18"/>
        </w:rPr>
        <w:t xml:space="preserve"> Travaux de terrain, février 2024</w:t>
      </w:r>
    </w:p>
    <w:p w14:paraId="16B71AF1" w14:textId="40EA05D8" w:rsidR="004D6816" w:rsidRPr="00834E2B" w:rsidRDefault="004D6816" w:rsidP="004D6816">
      <w:pPr>
        <w:pStyle w:val="Titre1"/>
        <w:numPr>
          <w:ilvl w:val="0"/>
          <w:numId w:val="7"/>
        </w:numPr>
        <w:spacing w:line="360" w:lineRule="auto"/>
        <w:ind w:left="709" w:hanging="425"/>
        <w:jc w:val="both"/>
        <w:rPr>
          <w:rFonts w:ascii="Trebuchet MS" w:hAnsi="Trebuchet MS"/>
          <w:sz w:val="24"/>
          <w:szCs w:val="24"/>
        </w:rPr>
      </w:pPr>
      <w:r w:rsidRPr="00834E2B">
        <w:rPr>
          <w:rFonts w:ascii="Trebuchet MS" w:hAnsi="Trebuchet MS"/>
          <w:sz w:val="24"/>
          <w:szCs w:val="24"/>
        </w:rPr>
        <w:t>Hiérarchisation des risques</w:t>
      </w:r>
    </w:p>
    <w:p w14:paraId="09914068" w14:textId="77777777" w:rsidR="004D6816" w:rsidRDefault="004D6816" w:rsidP="004D6816">
      <w:pPr>
        <w:spacing w:line="276" w:lineRule="auto"/>
        <w:jc w:val="both"/>
        <w:rPr>
          <w:rFonts w:ascii="Trebuchet MS" w:hAnsi="Trebuchet MS"/>
        </w:rPr>
      </w:pPr>
      <w:r w:rsidRPr="004D6816">
        <w:rPr>
          <w:rFonts w:ascii="Trebuchet MS" w:hAnsi="Trebuchet MS"/>
        </w:rPr>
        <w:t xml:space="preserve">Lors d’un atelier participatif, les acteurs communaux ont classé les aléas identifiés selon leur probabilité d’occurrence et leur impact, à l’aide d’une grille d’évaluation basée sur l’échelle de Likert. Le calcul du niveau de vulnérabilité (probabilité x impact) a permis d’identifier les trois risques majeurs : </w:t>
      </w:r>
    </w:p>
    <w:p w14:paraId="7CC71379" w14:textId="77777777" w:rsidR="004C0EEF" w:rsidRDefault="004C0EEF" w:rsidP="004D6816">
      <w:pPr>
        <w:spacing w:line="276" w:lineRule="auto"/>
        <w:jc w:val="both"/>
        <w:rPr>
          <w:rFonts w:ascii="Trebuchet MS" w:hAnsi="Trebuchet MS"/>
        </w:rPr>
      </w:pPr>
    </w:p>
    <w:p w14:paraId="08784B5A" w14:textId="77777777" w:rsidR="004C0EEF" w:rsidRPr="004D6816" w:rsidRDefault="004C0EEF" w:rsidP="004D6816">
      <w:pPr>
        <w:spacing w:line="276" w:lineRule="auto"/>
        <w:jc w:val="both"/>
        <w:rPr>
          <w:rFonts w:ascii="Trebuchet MS" w:hAnsi="Trebuchet MS"/>
        </w:rPr>
      </w:pPr>
    </w:p>
    <w:p w14:paraId="246099BE" w14:textId="23F78760" w:rsidR="004D6816" w:rsidRPr="004D6816" w:rsidRDefault="004D6816" w:rsidP="004D6816">
      <w:pPr>
        <w:pStyle w:val="Paragraphedeliste"/>
        <w:numPr>
          <w:ilvl w:val="0"/>
          <w:numId w:val="12"/>
        </w:numPr>
        <w:spacing w:after="200" w:line="276" w:lineRule="auto"/>
        <w:jc w:val="both"/>
        <w:rPr>
          <w:rFonts w:ascii="Trebuchet MS" w:hAnsi="Trebuchet MS"/>
        </w:rPr>
      </w:pPr>
      <w:proofErr w:type="gramStart"/>
      <w:r w:rsidRPr="004D6816">
        <w:rPr>
          <w:rFonts w:ascii="Trebuchet MS" w:hAnsi="Trebuchet MS"/>
        </w:rPr>
        <w:t>la</w:t>
      </w:r>
      <w:proofErr w:type="gramEnd"/>
      <w:r w:rsidRPr="004D6816">
        <w:rPr>
          <w:rFonts w:ascii="Trebuchet MS" w:hAnsi="Trebuchet MS"/>
        </w:rPr>
        <w:t xml:space="preserve"> sécheresse ; </w:t>
      </w:r>
    </w:p>
    <w:p w14:paraId="28F6DE33" w14:textId="77777777" w:rsidR="004D6816" w:rsidRPr="004D6816" w:rsidRDefault="004D6816" w:rsidP="004D6816">
      <w:pPr>
        <w:pStyle w:val="Paragraphedeliste"/>
        <w:numPr>
          <w:ilvl w:val="0"/>
          <w:numId w:val="12"/>
        </w:numPr>
        <w:spacing w:after="200" w:line="276" w:lineRule="auto"/>
        <w:jc w:val="both"/>
        <w:rPr>
          <w:rFonts w:ascii="Trebuchet MS" w:hAnsi="Trebuchet MS"/>
        </w:rPr>
      </w:pPr>
      <w:r w:rsidRPr="004D6816">
        <w:rPr>
          <w:rFonts w:ascii="Trebuchet MS" w:hAnsi="Trebuchet MS"/>
        </w:rPr>
        <w:t>les conflits entre agriculteurs et éleveurs, et</w:t>
      </w:r>
    </w:p>
    <w:p w14:paraId="1434DBBC" w14:textId="16EF5BBF" w:rsidR="004D6816" w:rsidRDefault="004D6816" w:rsidP="004D6816">
      <w:pPr>
        <w:pStyle w:val="Paragraphedeliste"/>
        <w:numPr>
          <w:ilvl w:val="0"/>
          <w:numId w:val="12"/>
        </w:numPr>
        <w:spacing w:before="240" w:after="200" w:line="276" w:lineRule="auto"/>
        <w:jc w:val="both"/>
        <w:rPr>
          <w:rFonts w:ascii="Trebuchet MS" w:hAnsi="Trebuchet MS"/>
        </w:rPr>
      </w:pPr>
      <w:r w:rsidRPr="004D6816">
        <w:rPr>
          <w:rFonts w:ascii="Trebuchet MS" w:hAnsi="Trebuchet MS"/>
        </w:rPr>
        <w:t xml:space="preserve">les vents violents. </w:t>
      </w:r>
    </w:p>
    <w:p w14:paraId="21EAA51E" w14:textId="77777777" w:rsidR="004D6816" w:rsidRPr="004D6816" w:rsidRDefault="004D6816" w:rsidP="004D6816">
      <w:pPr>
        <w:pStyle w:val="Paragraphedeliste"/>
        <w:spacing w:before="240" w:after="200" w:line="276" w:lineRule="auto"/>
        <w:jc w:val="both"/>
        <w:rPr>
          <w:rFonts w:ascii="Trebuchet MS" w:hAnsi="Trebuchet MS"/>
          <w:sz w:val="14"/>
          <w:szCs w:val="14"/>
        </w:rPr>
      </w:pPr>
    </w:p>
    <w:p w14:paraId="2B5BDBA8" w14:textId="1EFCBD8D" w:rsidR="004D6816" w:rsidRPr="004D6816" w:rsidRDefault="004D6816" w:rsidP="004D6816">
      <w:pPr>
        <w:pStyle w:val="Paragraphedeliste"/>
        <w:numPr>
          <w:ilvl w:val="0"/>
          <w:numId w:val="7"/>
        </w:numPr>
        <w:spacing w:before="240"/>
        <w:rPr>
          <w:rFonts w:ascii="Trebuchet MS" w:eastAsiaTheme="majorEastAsia" w:hAnsi="Trebuchet MS" w:cstheme="majorBidi"/>
          <w:color w:val="2E74B5" w:themeColor="accent1" w:themeShade="BF"/>
          <w:sz w:val="24"/>
          <w:szCs w:val="24"/>
        </w:rPr>
      </w:pPr>
      <w:r w:rsidRPr="004D6816">
        <w:rPr>
          <w:rFonts w:ascii="Trebuchet MS" w:eastAsiaTheme="majorEastAsia" w:hAnsi="Trebuchet MS" w:cstheme="majorBidi"/>
          <w:color w:val="2E74B5" w:themeColor="accent1" w:themeShade="BF"/>
          <w:sz w:val="24"/>
          <w:szCs w:val="24"/>
        </w:rPr>
        <w:t xml:space="preserve">Stratégies d’adaptation </w:t>
      </w:r>
    </w:p>
    <w:p w14:paraId="7E0684EF" w14:textId="77777777" w:rsidR="004D6816" w:rsidRPr="004D6816" w:rsidRDefault="004D6816" w:rsidP="004D6816">
      <w:pPr>
        <w:spacing w:after="0" w:line="276" w:lineRule="auto"/>
        <w:jc w:val="both"/>
        <w:rPr>
          <w:rFonts w:ascii="Trebuchet MS" w:hAnsi="Trebuchet MS"/>
        </w:rPr>
      </w:pPr>
      <w:r w:rsidRPr="004D6816">
        <w:rPr>
          <w:rFonts w:ascii="Trebuchet MS" w:hAnsi="Trebuchet MS"/>
        </w:rPr>
        <w:t>La Commune de Natitingou met en œuvre plusieurs stratégies d’adaptation pour renforcer la résilience face aux risques climatiques et environnementaux :</w:t>
      </w:r>
    </w:p>
    <w:p w14:paraId="5B26BAE9" w14:textId="77777777" w:rsidR="004D6816" w:rsidRPr="004D6816" w:rsidRDefault="004D6816" w:rsidP="004D6816">
      <w:pPr>
        <w:spacing w:after="0" w:line="276" w:lineRule="auto"/>
        <w:jc w:val="both"/>
        <w:rPr>
          <w:rFonts w:ascii="Trebuchet MS" w:hAnsi="Trebuchet MS"/>
        </w:rPr>
      </w:pPr>
      <w:r w:rsidRPr="004D6816">
        <w:rPr>
          <w:rFonts w:ascii="Trebuchet MS" w:hAnsi="Trebuchet MS"/>
        </w:rPr>
        <w:lastRenderedPageBreak/>
        <w:t>Diversification agricole : Adoption de cultures résistantes à la sécheresse comme le mil, le sorgho et le fonio.</w:t>
      </w:r>
    </w:p>
    <w:p w14:paraId="77DD60AC" w14:textId="77777777" w:rsidR="004D6816" w:rsidRPr="004D6816" w:rsidRDefault="004D6816" w:rsidP="004D6816">
      <w:pPr>
        <w:spacing w:after="0" w:line="276" w:lineRule="auto"/>
        <w:jc w:val="both"/>
        <w:rPr>
          <w:rFonts w:ascii="Trebuchet MS" w:hAnsi="Trebuchet MS"/>
        </w:rPr>
      </w:pPr>
      <w:r w:rsidRPr="004D6816">
        <w:rPr>
          <w:rFonts w:ascii="Trebuchet MS" w:hAnsi="Trebuchet MS"/>
        </w:rPr>
        <w:t>Gestion de l’eau : Collecte de l’eau de pluie et utilisation de systèmes d’irrigation efficaces (ex. : goutte à goutte).</w:t>
      </w:r>
    </w:p>
    <w:p w14:paraId="02D29322" w14:textId="77777777" w:rsidR="004D6816" w:rsidRPr="004D6816" w:rsidRDefault="004D6816" w:rsidP="004D6816">
      <w:pPr>
        <w:spacing w:after="0" w:line="276" w:lineRule="auto"/>
        <w:jc w:val="both"/>
        <w:rPr>
          <w:rFonts w:ascii="Trebuchet MS" w:hAnsi="Trebuchet MS"/>
        </w:rPr>
      </w:pPr>
      <w:r w:rsidRPr="004D6816">
        <w:rPr>
          <w:rFonts w:ascii="Trebuchet MS" w:hAnsi="Trebuchet MS"/>
        </w:rPr>
        <w:t>Infrastructures de protection : Construction de digues et de canaux pour prévenir les inondations.</w:t>
      </w:r>
    </w:p>
    <w:p w14:paraId="63634183" w14:textId="77777777" w:rsidR="004D6816" w:rsidRPr="004D6816" w:rsidRDefault="004D6816" w:rsidP="004D6816">
      <w:pPr>
        <w:spacing w:after="0" w:line="276" w:lineRule="auto"/>
        <w:jc w:val="both"/>
        <w:rPr>
          <w:rFonts w:ascii="Trebuchet MS" w:hAnsi="Trebuchet MS"/>
        </w:rPr>
      </w:pPr>
      <w:r w:rsidRPr="004D6816">
        <w:rPr>
          <w:rFonts w:ascii="Trebuchet MS" w:hAnsi="Trebuchet MS"/>
        </w:rPr>
        <w:t>Sensibilisation : Éducation des populations sur les risques climatiques et les bonnes pratiques d’adaptation.</w:t>
      </w:r>
    </w:p>
    <w:p w14:paraId="453FA875" w14:textId="344D235A" w:rsidR="00F807D7" w:rsidRDefault="004D6816" w:rsidP="004D6816">
      <w:pPr>
        <w:spacing w:after="0" w:line="276" w:lineRule="auto"/>
        <w:jc w:val="both"/>
        <w:rPr>
          <w:rFonts w:ascii="Trebuchet MS" w:hAnsi="Trebuchet MS"/>
        </w:rPr>
      </w:pPr>
      <w:r w:rsidRPr="004D6816">
        <w:rPr>
          <w:rFonts w:ascii="Trebuchet MS" w:hAnsi="Trebuchet MS"/>
        </w:rPr>
        <w:t>Concernant l'accès à l'information climatique, 53 % des habitants y accèdent parfois, principalement via la radio, tandis que 36 % n’y ont jamais accès.</w:t>
      </w:r>
    </w:p>
    <w:p w14:paraId="2D6D86BF" w14:textId="77777777" w:rsidR="00F807D7" w:rsidRDefault="00F807D7" w:rsidP="004D6816">
      <w:pPr>
        <w:spacing w:after="0" w:line="276" w:lineRule="auto"/>
        <w:jc w:val="both"/>
        <w:rPr>
          <w:rFonts w:ascii="Trebuchet MS" w:hAnsi="Trebuchet MS"/>
        </w:rPr>
      </w:pPr>
    </w:p>
    <w:p w14:paraId="195322E7" w14:textId="362E688C" w:rsidR="004D6816" w:rsidRPr="004D6816" w:rsidRDefault="004D6816" w:rsidP="004D6816">
      <w:pPr>
        <w:spacing w:after="0" w:line="276" w:lineRule="auto"/>
        <w:jc w:val="both"/>
        <w:rPr>
          <w:rFonts w:ascii="Trebuchet MS" w:hAnsi="Trebuchet MS"/>
        </w:rPr>
      </w:pPr>
      <w:r w:rsidRPr="004D6816">
        <w:rPr>
          <w:rFonts w:ascii="Trebuchet MS" w:hAnsi="Trebuchet MS"/>
        </w:rPr>
        <w:t>Plusieurs acteurs interviennent dans la gestion des risques : ONG (aide humanitaire, sensibilisation, reconstruction), Organisations communautaires, Services bancaires (prêts d’urgence), Vulgarisation agricole (pratiques agricoles résilientes).</w:t>
      </w:r>
    </w:p>
    <w:p w14:paraId="4939269A" w14:textId="3C12EF2B" w:rsidR="004D6816" w:rsidRDefault="004D6816" w:rsidP="004D6816">
      <w:pPr>
        <w:spacing w:after="0" w:line="276" w:lineRule="auto"/>
        <w:jc w:val="both"/>
        <w:rPr>
          <w:rFonts w:ascii="Bookman Old Style" w:hAnsi="Bookman Old Style"/>
          <w:b/>
          <w:bCs/>
        </w:rPr>
      </w:pPr>
      <w:r w:rsidRPr="004D6816">
        <w:rPr>
          <w:rFonts w:ascii="Trebuchet MS" w:hAnsi="Trebuchet MS"/>
        </w:rPr>
        <w:t xml:space="preserve">Ces acteurs travaillent ensemble pour renforcer les capacités locales à faire face aux aléas. </w:t>
      </w:r>
      <w:r>
        <w:rPr>
          <w:rFonts w:ascii="Bookman Old Style" w:hAnsi="Bookman Old Style"/>
          <w:b/>
          <w:bCs/>
        </w:rPr>
        <w:t xml:space="preserve"> </w:t>
      </w:r>
    </w:p>
    <w:p w14:paraId="0365EA53" w14:textId="77777777" w:rsidR="001663E2" w:rsidRPr="004D6816" w:rsidRDefault="001663E2" w:rsidP="004D6816">
      <w:pPr>
        <w:spacing w:after="0" w:line="276" w:lineRule="auto"/>
        <w:jc w:val="both"/>
        <w:rPr>
          <w:rFonts w:ascii="Trebuchet MS" w:hAnsi="Trebuchet MS"/>
        </w:rPr>
      </w:pPr>
    </w:p>
    <w:p w14:paraId="11720EBF" w14:textId="4CAD7BCC" w:rsidR="004D6816" w:rsidRPr="00834E2B" w:rsidRDefault="004D6816" w:rsidP="00855AFE">
      <w:pPr>
        <w:pStyle w:val="Titre1"/>
        <w:numPr>
          <w:ilvl w:val="0"/>
          <w:numId w:val="7"/>
        </w:numPr>
        <w:spacing w:line="360" w:lineRule="auto"/>
        <w:jc w:val="both"/>
        <w:rPr>
          <w:rFonts w:ascii="Trebuchet MS" w:hAnsi="Trebuchet MS"/>
          <w:sz w:val="24"/>
          <w:szCs w:val="24"/>
        </w:rPr>
      </w:pPr>
      <w:r w:rsidRPr="00834E2B">
        <w:rPr>
          <w:rFonts w:ascii="Trebuchet MS" w:hAnsi="Trebuchet MS"/>
          <w:sz w:val="24"/>
          <w:szCs w:val="24"/>
        </w:rPr>
        <w:t xml:space="preserve"> Planification de la réponse</w:t>
      </w:r>
    </w:p>
    <w:p w14:paraId="749E93B0" w14:textId="3C29F29D" w:rsidR="004D6816" w:rsidRPr="00834E2B" w:rsidRDefault="004D6816" w:rsidP="004D6816">
      <w:pPr>
        <w:spacing w:line="276" w:lineRule="auto"/>
        <w:jc w:val="both"/>
        <w:rPr>
          <w:rFonts w:ascii="Trebuchet MS" w:hAnsi="Trebuchet MS"/>
          <w:b/>
          <w:bCs/>
          <w:sz w:val="24"/>
          <w:szCs w:val="24"/>
        </w:rPr>
      </w:pPr>
      <w:r w:rsidRPr="004D6816">
        <w:rPr>
          <w:rFonts w:ascii="Trebuchet MS" w:hAnsi="Trebuchet MS"/>
        </w:rPr>
        <w:t xml:space="preserve">Le PCC de Natitingou s’appuie sur un système de </w:t>
      </w:r>
      <w:r w:rsidRPr="004D6816">
        <w:rPr>
          <w:rFonts w:ascii="Trebuchet MS" w:hAnsi="Trebuchet MS"/>
          <w:b/>
          <w:bCs/>
        </w:rPr>
        <w:t>vigilance graduée à quatre niveaux :</w:t>
      </w:r>
      <w:r w:rsidRPr="004D6816">
        <w:rPr>
          <w:rFonts w:ascii="Trebuchet MS" w:hAnsi="Trebuchet MS"/>
          <w:b/>
          <w:bCs/>
          <w:sz w:val="24"/>
          <w:szCs w:val="24"/>
        </w:rPr>
        <w:t xml:space="preserve"> </w:t>
      </w:r>
    </w:p>
    <w:tbl>
      <w:tblPr>
        <w:tblW w:w="969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31"/>
        <w:gridCol w:w="2245"/>
        <w:gridCol w:w="1939"/>
        <w:gridCol w:w="3979"/>
      </w:tblGrid>
      <w:tr w:rsidR="004D6816" w:rsidRPr="00834E2B" w14:paraId="1765B3A1" w14:textId="77777777" w:rsidTr="00A45BB4">
        <w:trPr>
          <w:tblHeader/>
          <w:tblCellSpacing w:w="15" w:type="dxa"/>
        </w:trPr>
        <w:tc>
          <w:tcPr>
            <w:tcW w:w="0" w:type="auto"/>
            <w:vAlign w:val="center"/>
            <w:hideMark/>
          </w:tcPr>
          <w:p w14:paraId="0294B1CA" w14:textId="77777777" w:rsidR="004D6816" w:rsidRPr="00834E2B" w:rsidRDefault="004D6816" w:rsidP="004D6816">
            <w:pPr>
              <w:spacing w:after="0" w:line="240" w:lineRule="auto"/>
              <w:jc w:val="center"/>
              <w:rPr>
                <w:rFonts w:ascii="Trebuchet MS" w:hAnsi="Trebuchet MS"/>
                <w:b/>
                <w:bCs/>
                <w:sz w:val="20"/>
                <w:szCs w:val="20"/>
                <w:lang w:val="fr-BJ"/>
              </w:rPr>
            </w:pPr>
            <w:r w:rsidRPr="00834E2B">
              <w:rPr>
                <w:rFonts w:ascii="Trebuchet MS" w:hAnsi="Trebuchet MS"/>
                <w:b/>
                <w:bCs/>
                <w:sz w:val="20"/>
                <w:szCs w:val="20"/>
                <w:lang w:val="fr-BJ"/>
              </w:rPr>
              <w:t>Niveau de Vigilance</w:t>
            </w:r>
          </w:p>
        </w:tc>
        <w:tc>
          <w:tcPr>
            <w:tcW w:w="0" w:type="auto"/>
            <w:vAlign w:val="center"/>
            <w:hideMark/>
          </w:tcPr>
          <w:p w14:paraId="1D7546C3" w14:textId="77777777" w:rsidR="004D6816" w:rsidRPr="00834E2B" w:rsidRDefault="004D6816" w:rsidP="004D6816">
            <w:pPr>
              <w:spacing w:after="0" w:line="240" w:lineRule="auto"/>
              <w:jc w:val="center"/>
              <w:rPr>
                <w:rFonts w:ascii="Trebuchet MS" w:hAnsi="Trebuchet MS"/>
                <w:b/>
                <w:bCs/>
                <w:sz w:val="20"/>
                <w:szCs w:val="20"/>
                <w:lang w:val="fr-BJ"/>
              </w:rPr>
            </w:pPr>
            <w:r w:rsidRPr="00834E2B">
              <w:rPr>
                <w:rFonts w:ascii="Trebuchet MS" w:hAnsi="Trebuchet MS"/>
                <w:b/>
                <w:bCs/>
                <w:sz w:val="20"/>
                <w:szCs w:val="20"/>
                <w:lang w:val="fr-BJ"/>
              </w:rPr>
              <w:t>Description</w:t>
            </w:r>
          </w:p>
        </w:tc>
        <w:tc>
          <w:tcPr>
            <w:tcW w:w="0" w:type="auto"/>
            <w:vAlign w:val="center"/>
            <w:hideMark/>
          </w:tcPr>
          <w:p w14:paraId="3728590C" w14:textId="77777777" w:rsidR="004D6816" w:rsidRPr="00834E2B" w:rsidRDefault="004D6816" w:rsidP="004D6816">
            <w:pPr>
              <w:spacing w:after="0" w:line="240" w:lineRule="auto"/>
              <w:jc w:val="center"/>
              <w:rPr>
                <w:rFonts w:ascii="Trebuchet MS" w:hAnsi="Trebuchet MS"/>
                <w:b/>
                <w:bCs/>
                <w:sz w:val="20"/>
                <w:szCs w:val="20"/>
                <w:lang w:val="fr-BJ"/>
              </w:rPr>
            </w:pPr>
            <w:r w:rsidRPr="00834E2B">
              <w:rPr>
                <w:rFonts w:ascii="Trebuchet MS" w:hAnsi="Trebuchet MS"/>
                <w:b/>
                <w:bCs/>
                <w:sz w:val="20"/>
                <w:szCs w:val="20"/>
                <w:lang w:val="fr-BJ"/>
              </w:rPr>
              <w:t>Objectif principal</w:t>
            </w:r>
          </w:p>
        </w:tc>
        <w:tc>
          <w:tcPr>
            <w:tcW w:w="3934" w:type="dxa"/>
            <w:vAlign w:val="center"/>
            <w:hideMark/>
          </w:tcPr>
          <w:p w14:paraId="21ECE04D" w14:textId="77777777" w:rsidR="004D6816" w:rsidRPr="00834E2B" w:rsidRDefault="004D6816" w:rsidP="004D6816">
            <w:pPr>
              <w:spacing w:after="0" w:line="240" w:lineRule="auto"/>
              <w:jc w:val="center"/>
              <w:rPr>
                <w:rFonts w:ascii="Trebuchet MS" w:hAnsi="Trebuchet MS"/>
                <w:b/>
                <w:bCs/>
                <w:sz w:val="20"/>
                <w:szCs w:val="20"/>
                <w:lang w:val="fr-BJ"/>
              </w:rPr>
            </w:pPr>
            <w:r w:rsidRPr="00834E2B">
              <w:rPr>
                <w:rFonts w:ascii="Trebuchet MS" w:hAnsi="Trebuchet MS"/>
                <w:b/>
                <w:bCs/>
                <w:sz w:val="20"/>
                <w:szCs w:val="20"/>
                <w:lang w:val="fr-BJ"/>
              </w:rPr>
              <w:t>Actions clés</w:t>
            </w:r>
          </w:p>
        </w:tc>
      </w:tr>
      <w:tr w:rsidR="004D6816" w:rsidRPr="00834E2B" w14:paraId="137688C7" w14:textId="77777777" w:rsidTr="00A45BB4">
        <w:trPr>
          <w:tblCellSpacing w:w="15" w:type="dxa"/>
        </w:trPr>
        <w:tc>
          <w:tcPr>
            <w:tcW w:w="0" w:type="auto"/>
            <w:vAlign w:val="center"/>
            <w:hideMark/>
          </w:tcPr>
          <w:p w14:paraId="33A8F02B" w14:textId="77777777" w:rsidR="004D6816" w:rsidRPr="00834E2B" w:rsidRDefault="004D6816" w:rsidP="004D6816">
            <w:pPr>
              <w:spacing w:after="0" w:line="240" w:lineRule="auto"/>
              <w:rPr>
                <w:rFonts w:ascii="Trebuchet MS" w:hAnsi="Trebuchet MS"/>
                <w:b/>
                <w:bCs/>
                <w:sz w:val="20"/>
                <w:szCs w:val="20"/>
                <w:lang w:val="fr-BJ"/>
              </w:rPr>
            </w:pPr>
            <w:r w:rsidRPr="00834E2B">
              <w:rPr>
                <w:rFonts w:ascii="Trebuchet MS" w:hAnsi="Trebuchet MS"/>
                <w:b/>
                <w:bCs/>
                <w:sz w:val="20"/>
                <w:szCs w:val="20"/>
                <w:lang w:val="fr-BJ"/>
              </w:rPr>
              <w:t>Vert (Surveillance)</w:t>
            </w:r>
          </w:p>
        </w:tc>
        <w:tc>
          <w:tcPr>
            <w:tcW w:w="0" w:type="auto"/>
            <w:vAlign w:val="center"/>
            <w:hideMark/>
          </w:tcPr>
          <w:p w14:paraId="731282CD" w14:textId="77777777" w:rsidR="004D6816" w:rsidRPr="00834E2B" w:rsidRDefault="004D6816" w:rsidP="004D6816">
            <w:pPr>
              <w:spacing w:after="0" w:line="240" w:lineRule="auto"/>
              <w:rPr>
                <w:rFonts w:ascii="Trebuchet MS" w:hAnsi="Trebuchet MS"/>
                <w:b/>
                <w:bCs/>
                <w:sz w:val="20"/>
                <w:szCs w:val="20"/>
                <w:lang w:val="fr-BJ"/>
              </w:rPr>
            </w:pPr>
            <w:r w:rsidRPr="00834E2B">
              <w:rPr>
                <w:rFonts w:ascii="Trebuchet MS" w:hAnsi="Trebuchet MS"/>
                <w:b/>
                <w:bCs/>
                <w:sz w:val="20"/>
                <w:szCs w:val="20"/>
                <w:lang w:val="fr-BJ"/>
              </w:rPr>
              <w:t>Situation normale, pas de menace immédiate identifiée</w:t>
            </w:r>
          </w:p>
        </w:tc>
        <w:tc>
          <w:tcPr>
            <w:tcW w:w="0" w:type="auto"/>
            <w:vAlign w:val="center"/>
            <w:hideMark/>
          </w:tcPr>
          <w:p w14:paraId="2830E2DE" w14:textId="77777777" w:rsidR="004D6816" w:rsidRPr="00834E2B" w:rsidRDefault="004D6816" w:rsidP="004D6816">
            <w:pPr>
              <w:spacing w:after="0" w:line="240" w:lineRule="auto"/>
              <w:rPr>
                <w:rFonts w:ascii="Trebuchet MS" w:hAnsi="Trebuchet MS"/>
                <w:b/>
                <w:bCs/>
                <w:sz w:val="20"/>
                <w:szCs w:val="20"/>
                <w:lang w:val="fr-BJ"/>
              </w:rPr>
            </w:pPr>
            <w:r w:rsidRPr="00834E2B">
              <w:rPr>
                <w:rFonts w:ascii="Trebuchet MS" w:hAnsi="Trebuchet MS"/>
                <w:b/>
                <w:bCs/>
                <w:sz w:val="20"/>
                <w:szCs w:val="20"/>
                <w:lang w:val="fr-BJ"/>
              </w:rPr>
              <w:t>Assurer une veille permanente</w:t>
            </w:r>
          </w:p>
        </w:tc>
        <w:tc>
          <w:tcPr>
            <w:tcW w:w="3934" w:type="dxa"/>
            <w:vAlign w:val="center"/>
            <w:hideMark/>
          </w:tcPr>
          <w:p w14:paraId="767C23CE" w14:textId="77777777" w:rsidR="004D6816" w:rsidRPr="00834E2B" w:rsidRDefault="004D6816" w:rsidP="004D6816">
            <w:pPr>
              <w:spacing w:after="0" w:line="240" w:lineRule="auto"/>
              <w:jc w:val="both"/>
              <w:rPr>
                <w:rFonts w:ascii="Trebuchet MS" w:hAnsi="Trebuchet MS"/>
                <w:b/>
                <w:bCs/>
                <w:sz w:val="20"/>
                <w:szCs w:val="20"/>
                <w:lang w:val="fr-BJ"/>
              </w:rPr>
            </w:pPr>
            <w:r w:rsidRPr="00834E2B">
              <w:rPr>
                <w:rFonts w:ascii="Trebuchet MS" w:hAnsi="Trebuchet MS"/>
                <w:b/>
                <w:bCs/>
                <w:sz w:val="20"/>
                <w:szCs w:val="20"/>
                <w:lang w:val="fr-BJ"/>
              </w:rPr>
              <w:t>Surveillance des indicateurs, mise à jour des données, sensibilisation</w:t>
            </w:r>
          </w:p>
        </w:tc>
      </w:tr>
      <w:tr w:rsidR="004D6816" w:rsidRPr="00834E2B" w14:paraId="7BADA08F" w14:textId="77777777" w:rsidTr="00A45BB4">
        <w:trPr>
          <w:tblCellSpacing w:w="15" w:type="dxa"/>
        </w:trPr>
        <w:tc>
          <w:tcPr>
            <w:tcW w:w="0" w:type="auto"/>
            <w:vAlign w:val="center"/>
            <w:hideMark/>
          </w:tcPr>
          <w:p w14:paraId="456A0658" w14:textId="77777777" w:rsidR="004D6816" w:rsidRPr="00834E2B" w:rsidRDefault="004D6816" w:rsidP="004D6816">
            <w:pPr>
              <w:spacing w:after="0" w:line="240" w:lineRule="auto"/>
              <w:rPr>
                <w:rFonts w:ascii="Trebuchet MS" w:hAnsi="Trebuchet MS"/>
                <w:b/>
                <w:bCs/>
                <w:sz w:val="20"/>
                <w:szCs w:val="20"/>
                <w:lang w:val="fr-BJ"/>
              </w:rPr>
            </w:pPr>
            <w:r w:rsidRPr="00834E2B">
              <w:rPr>
                <w:rFonts w:ascii="Trebuchet MS" w:hAnsi="Trebuchet MS"/>
                <w:b/>
                <w:bCs/>
                <w:sz w:val="20"/>
                <w:szCs w:val="20"/>
                <w:lang w:val="fr-BJ"/>
              </w:rPr>
              <w:t>Jaune (Pré-alerte)</w:t>
            </w:r>
          </w:p>
        </w:tc>
        <w:tc>
          <w:tcPr>
            <w:tcW w:w="0" w:type="auto"/>
            <w:vAlign w:val="center"/>
            <w:hideMark/>
          </w:tcPr>
          <w:p w14:paraId="0F8245D3" w14:textId="77777777" w:rsidR="004D6816" w:rsidRPr="00834E2B" w:rsidRDefault="004D6816" w:rsidP="004D6816">
            <w:pPr>
              <w:spacing w:after="0" w:line="240" w:lineRule="auto"/>
              <w:rPr>
                <w:rFonts w:ascii="Trebuchet MS" w:hAnsi="Trebuchet MS"/>
                <w:b/>
                <w:bCs/>
                <w:sz w:val="20"/>
                <w:szCs w:val="20"/>
                <w:lang w:val="fr-BJ"/>
              </w:rPr>
            </w:pPr>
            <w:r w:rsidRPr="00834E2B">
              <w:rPr>
                <w:rFonts w:ascii="Trebuchet MS" w:hAnsi="Trebuchet MS"/>
                <w:b/>
                <w:bCs/>
                <w:sz w:val="20"/>
                <w:szCs w:val="20"/>
                <w:lang w:val="fr-BJ"/>
              </w:rPr>
              <w:t>Risque potentiel identifié, situation sous contrôle</w:t>
            </w:r>
          </w:p>
        </w:tc>
        <w:tc>
          <w:tcPr>
            <w:tcW w:w="0" w:type="auto"/>
            <w:vAlign w:val="center"/>
            <w:hideMark/>
          </w:tcPr>
          <w:p w14:paraId="13BD59B1" w14:textId="77777777" w:rsidR="004D6816" w:rsidRPr="00834E2B" w:rsidRDefault="004D6816" w:rsidP="004D6816">
            <w:pPr>
              <w:spacing w:after="0" w:line="240" w:lineRule="auto"/>
              <w:rPr>
                <w:rFonts w:ascii="Trebuchet MS" w:hAnsi="Trebuchet MS"/>
                <w:b/>
                <w:bCs/>
                <w:sz w:val="20"/>
                <w:szCs w:val="20"/>
                <w:lang w:val="fr-BJ"/>
              </w:rPr>
            </w:pPr>
            <w:r w:rsidRPr="00834E2B">
              <w:rPr>
                <w:rFonts w:ascii="Trebuchet MS" w:hAnsi="Trebuchet MS"/>
                <w:b/>
                <w:bCs/>
                <w:sz w:val="20"/>
                <w:szCs w:val="20"/>
                <w:lang w:val="fr-BJ"/>
              </w:rPr>
              <w:t>Préparer les moyens de réponse</w:t>
            </w:r>
          </w:p>
        </w:tc>
        <w:tc>
          <w:tcPr>
            <w:tcW w:w="3934" w:type="dxa"/>
            <w:vAlign w:val="center"/>
            <w:hideMark/>
          </w:tcPr>
          <w:p w14:paraId="62268AF4" w14:textId="77777777" w:rsidR="004D6816" w:rsidRPr="00834E2B" w:rsidRDefault="004D6816" w:rsidP="004D6816">
            <w:pPr>
              <w:spacing w:after="0" w:line="240" w:lineRule="auto"/>
              <w:jc w:val="both"/>
              <w:rPr>
                <w:rFonts w:ascii="Trebuchet MS" w:hAnsi="Trebuchet MS"/>
                <w:b/>
                <w:bCs/>
                <w:sz w:val="20"/>
                <w:szCs w:val="20"/>
                <w:lang w:val="fr-BJ"/>
              </w:rPr>
            </w:pPr>
            <w:r w:rsidRPr="00834E2B">
              <w:rPr>
                <w:rFonts w:ascii="Trebuchet MS" w:hAnsi="Trebuchet MS"/>
                <w:b/>
                <w:bCs/>
                <w:sz w:val="20"/>
                <w:szCs w:val="20"/>
                <w:lang w:val="fr-BJ"/>
              </w:rPr>
              <w:t>Renforcement de la surveillance, information des parties prenantes</w:t>
            </w:r>
          </w:p>
        </w:tc>
      </w:tr>
      <w:tr w:rsidR="004D6816" w:rsidRPr="00834E2B" w14:paraId="58720235" w14:textId="77777777" w:rsidTr="00A45BB4">
        <w:trPr>
          <w:tblCellSpacing w:w="15" w:type="dxa"/>
        </w:trPr>
        <w:tc>
          <w:tcPr>
            <w:tcW w:w="0" w:type="auto"/>
            <w:vAlign w:val="center"/>
            <w:hideMark/>
          </w:tcPr>
          <w:p w14:paraId="4EF579B2" w14:textId="77777777" w:rsidR="004D6816" w:rsidRPr="00834E2B" w:rsidRDefault="004D6816" w:rsidP="004D6816">
            <w:pPr>
              <w:spacing w:after="0" w:line="240" w:lineRule="auto"/>
              <w:rPr>
                <w:rFonts w:ascii="Trebuchet MS" w:hAnsi="Trebuchet MS"/>
                <w:b/>
                <w:bCs/>
                <w:sz w:val="20"/>
                <w:szCs w:val="20"/>
                <w:lang w:val="fr-BJ"/>
              </w:rPr>
            </w:pPr>
            <w:r w:rsidRPr="00834E2B">
              <w:rPr>
                <w:rFonts w:ascii="Trebuchet MS" w:hAnsi="Trebuchet MS"/>
                <w:b/>
                <w:bCs/>
                <w:sz w:val="20"/>
                <w:szCs w:val="20"/>
                <w:lang w:val="fr-BJ"/>
              </w:rPr>
              <w:t>Orange (Alerte)</w:t>
            </w:r>
          </w:p>
        </w:tc>
        <w:tc>
          <w:tcPr>
            <w:tcW w:w="0" w:type="auto"/>
            <w:vAlign w:val="center"/>
            <w:hideMark/>
          </w:tcPr>
          <w:p w14:paraId="3A4A834C" w14:textId="77777777" w:rsidR="004D6816" w:rsidRPr="00834E2B" w:rsidRDefault="004D6816" w:rsidP="004D6816">
            <w:pPr>
              <w:spacing w:after="0" w:line="240" w:lineRule="auto"/>
              <w:rPr>
                <w:rFonts w:ascii="Trebuchet MS" w:hAnsi="Trebuchet MS"/>
                <w:b/>
                <w:bCs/>
                <w:sz w:val="20"/>
                <w:szCs w:val="20"/>
                <w:lang w:val="fr-BJ"/>
              </w:rPr>
            </w:pPr>
            <w:r w:rsidRPr="00834E2B">
              <w:rPr>
                <w:rFonts w:ascii="Trebuchet MS" w:hAnsi="Trebuchet MS"/>
                <w:b/>
                <w:bCs/>
                <w:sz w:val="20"/>
                <w:szCs w:val="20"/>
                <w:lang w:val="fr-BJ"/>
              </w:rPr>
              <w:t>Menace probable ou imminente</w:t>
            </w:r>
          </w:p>
        </w:tc>
        <w:tc>
          <w:tcPr>
            <w:tcW w:w="0" w:type="auto"/>
            <w:vAlign w:val="center"/>
            <w:hideMark/>
          </w:tcPr>
          <w:p w14:paraId="579BC816" w14:textId="77777777" w:rsidR="004D6816" w:rsidRPr="00834E2B" w:rsidRDefault="004D6816" w:rsidP="004D6816">
            <w:pPr>
              <w:spacing w:after="0" w:line="240" w:lineRule="auto"/>
              <w:rPr>
                <w:rFonts w:ascii="Trebuchet MS" w:hAnsi="Trebuchet MS"/>
                <w:b/>
                <w:bCs/>
                <w:sz w:val="20"/>
                <w:szCs w:val="20"/>
                <w:lang w:val="fr-BJ"/>
              </w:rPr>
            </w:pPr>
            <w:r w:rsidRPr="00834E2B">
              <w:rPr>
                <w:rFonts w:ascii="Trebuchet MS" w:hAnsi="Trebuchet MS"/>
                <w:b/>
                <w:bCs/>
                <w:sz w:val="20"/>
                <w:szCs w:val="20"/>
                <w:lang w:val="fr-BJ"/>
              </w:rPr>
              <w:t>Activer les dispositifs de réponse</w:t>
            </w:r>
          </w:p>
        </w:tc>
        <w:tc>
          <w:tcPr>
            <w:tcW w:w="3934" w:type="dxa"/>
            <w:vAlign w:val="center"/>
            <w:hideMark/>
          </w:tcPr>
          <w:p w14:paraId="0E57C6CB" w14:textId="77777777" w:rsidR="004D6816" w:rsidRPr="00834E2B" w:rsidRDefault="004D6816" w:rsidP="004D6816">
            <w:pPr>
              <w:spacing w:after="0" w:line="240" w:lineRule="auto"/>
              <w:jc w:val="both"/>
              <w:rPr>
                <w:rFonts w:ascii="Trebuchet MS" w:hAnsi="Trebuchet MS"/>
                <w:b/>
                <w:bCs/>
                <w:sz w:val="20"/>
                <w:szCs w:val="20"/>
                <w:lang w:val="fr-BJ"/>
              </w:rPr>
            </w:pPr>
            <w:r w:rsidRPr="00834E2B">
              <w:rPr>
                <w:rFonts w:ascii="Trebuchet MS" w:hAnsi="Trebuchet MS"/>
                <w:b/>
                <w:bCs/>
                <w:sz w:val="20"/>
                <w:szCs w:val="20"/>
                <w:lang w:val="fr-BJ"/>
              </w:rPr>
              <w:t>Mobilisation des ressources, coordination des acteurs, communication renforcée</w:t>
            </w:r>
          </w:p>
        </w:tc>
      </w:tr>
      <w:tr w:rsidR="004D6816" w:rsidRPr="00834E2B" w14:paraId="63ADA387" w14:textId="77777777" w:rsidTr="00A45BB4">
        <w:trPr>
          <w:tblCellSpacing w:w="15" w:type="dxa"/>
        </w:trPr>
        <w:tc>
          <w:tcPr>
            <w:tcW w:w="0" w:type="auto"/>
            <w:vAlign w:val="center"/>
            <w:hideMark/>
          </w:tcPr>
          <w:p w14:paraId="28CB8864" w14:textId="77777777" w:rsidR="004D6816" w:rsidRPr="00834E2B" w:rsidRDefault="004D6816" w:rsidP="004D6816">
            <w:pPr>
              <w:spacing w:after="0" w:line="240" w:lineRule="auto"/>
              <w:rPr>
                <w:rFonts w:ascii="Trebuchet MS" w:hAnsi="Trebuchet MS"/>
                <w:b/>
                <w:bCs/>
                <w:sz w:val="20"/>
                <w:szCs w:val="20"/>
                <w:lang w:val="fr-BJ"/>
              </w:rPr>
            </w:pPr>
            <w:r w:rsidRPr="00834E2B">
              <w:rPr>
                <w:rFonts w:ascii="Trebuchet MS" w:hAnsi="Trebuchet MS"/>
                <w:b/>
                <w:bCs/>
                <w:sz w:val="20"/>
                <w:szCs w:val="20"/>
                <w:lang w:val="fr-BJ"/>
              </w:rPr>
              <w:t>Rouge (Urgence)</w:t>
            </w:r>
          </w:p>
        </w:tc>
        <w:tc>
          <w:tcPr>
            <w:tcW w:w="0" w:type="auto"/>
            <w:vAlign w:val="center"/>
            <w:hideMark/>
          </w:tcPr>
          <w:p w14:paraId="233C35B4" w14:textId="77777777" w:rsidR="004D6816" w:rsidRPr="00834E2B" w:rsidRDefault="004D6816" w:rsidP="004D6816">
            <w:pPr>
              <w:spacing w:after="0" w:line="240" w:lineRule="auto"/>
              <w:rPr>
                <w:rFonts w:ascii="Trebuchet MS" w:hAnsi="Trebuchet MS"/>
                <w:b/>
                <w:bCs/>
                <w:sz w:val="20"/>
                <w:szCs w:val="20"/>
                <w:lang w:val="fr-BJ"/>
              </w:rPr>
            </w:pPr>
            <w:r w:rsidRPr="00834E2B">
              <w:rPr>
                <w:rFonts w:ascii="Trebuchet MS" w:hAnsi="Trebuchet MS"/>
                <w:b/>
                <w:bCs/>
                <w:sz w:val="20"/>
                <w:szCs w:val="20"/>
                <w:lang w:val="fr-BJ"/>
              </w:rPr>
              <w:t>Situation de crise avérée, impacts directs observés</w:t>
            </w:r>
          </w:p>
        </w:tc>
        <w:tc>
          <w:tcPr>
            <w:tcW w:w="0" w:type="auto"/>
            <w:vAlign w:val="center"/>
            <w:hideMark/>
          </w:tcPr>
          <w:p w14:paraId="57E4F7E8" w14:textId="77777777" w:rsidR="004D6816" w:rsidRPr="00834E2B" w:rsidRDefault="004D6816" w:rsidP="004D6816">
            <w:pPr>
              <w:spacing w:after="0" w:line="240" w:lineRule="auto"/>
              <w:rPr>
                <w:rFonts w:ascii="Trebuchet MS" w:hAnsi="Trebuchet MS"/>
                <w:b/>
                <w:bCs/>
                <w:sz w:val="20"/>
                <w:szCs w:val="20"/>
                <w:lang w:val="fr-BJ"/>
              </w:rPr>
            </w:pPr>
            <w:r w:rsidRPr="00834E2B">
              <w:rPr>
                <w:rFonts w:ascii="Trebuchet MS" w:hAnsi="Trebuchet MS"/>
                <w:b/>
                <w:bCs/>
                <w:sz w:val="20"/>
                <w:szCs w:val="20"/>
                <w:lang w:val="fr-BJ"/>
              </w:rPr>
              <w:t>Répondre rapidement et efficacement</w:t>
            </w:r>
          </w:p>
        </w:tc>
        <w:tc>
          <w:tcPr>
            <w:tcW w:w="3934" w:type="dxa"/>
            <w:vAlign w:val="center"/>
            <w:hideMark/>
          </w:tcPr>
          <w:p w14:paraId="06075DFF" w14:textId="77777777" w:rsidR="004D6816" w:rsidRPr="00834E2B" w:rsidRDefault="004D6816" w:rsidP="004D6816">
            <w:pPr>
              <w:spacing w:after="0" w:line="240" w:lineRule="auto"/>
              <w:jc w:val="both"/>
              <w:rPr>
                <w:rFonts w:ascii="Trebuchet MS" w:hAnsi="Trebuchet MS"/>
                <w:b/>
                <w:bCs/>
                <w:sz w:val="20"/>
                <w:szCs w:val="20"/>
                <w:lang w:val="fr-BJ"/>
              </w:rPr>
            </w:pPr>
            <w:r w:rsidRPr="00834E2B">
              <w:rPr>
                <w:rFonts w:ascii="Trebuchet MS" w:hAnsi="Trebuchet MS"/>
                <w:b/>
                <w:bCs/>
                <w:sz w:val="20"/>
                <w:szCs w:val="20"/>
                <w:lang w:val="fr-BJ"/>
              </w:rPr>
              <w:t>Mise en œuvre des secours, protection des populations, évaluation des besoins</w:t>
            </w:r>
          </w:p>
        </w:tc>
      </w:tr>
    </w:tbl>
    <w:p w14:paraId="73EB3ED3" w14:textId="77777777" w:rsidR="00F807D7" w:rsidRDefault="00F807D7" w:rsidP="00F807D7">
      <w:pPr>
        <w:pStyle w:val="Titre1"/>
        <w:spacing w:line="360" w:lineRule="auto"/>
        <w:ind w:left="1440"/>
        <w:jc w:val="both"/>
        <w:rPr>
          <w:rFonts w:ascii="Trebuchet MS" w:hAnsi="Trebuchet MS"/>
          <w:sz w:val="24"/>
          <w:szCs w:val="24"/>
        </w:rPr>
      </w:pPr>
    </w:p>
    <w:p w14:paraId="0D4DABEE" w14:textId="77777777" w:rsidR="00F807D7" w:rsidRDefault="00F807D7" w:rsidP="00F807D7"/>
    <w:p w14:paraId="062A079E" w14:textId="77777777" w:rsidR="00F807D7" w:rsidRDefault="00F807D7" w:rsidP="00F807D7"/>
    <w:p w14:paraId="72519EC1" w14:textId="77777777" w:rsidR="00F807D7" w:rsidRDefault="00F807D7" w:rsidP="00F807D7"/>
    <w:p w14:paraId="62AB8D2D" w14:textId="77777777" w:rsidR="004C0EEF" w:rsidRDefault="004C0EEF" w:rsidP="00F807D7"/>
    <w:p w14:paraId="31751798" w14:textId="77777777" w:rsidR="004C0EEF" w:rsidRDefault="004C0EEF" w:rsidP="00F807D7"/>
    <w:p w14:paraId="3112BA26" w14:textId="77777777" w:rsidR="004C0EEF" w:rsidRDefault="004C0EEF" w:rsidP="00F807D7"/>
    <w:p w14:paraId="4FC6F46D" w14:textId="77777777" w:rsidR="004C0EEF" w:rsidRPr="00F807D7" w:rsidRDefault="004C0EEF" w:rsidP="00F807D7"/>
    <w:p w14:paraId="6F401A68" w14:textId="62A87707" w:rsidR="004D6816" w:rsidRPr="00834E2B" w:rsidRDefault="004D6816" w:rsidP="00F16622">
      <w:pPr>
        <w:pStyle w:val="Titre1"/>
        <w:numPr>
          <w:ilvl w:val="1"/>
          <w:numId w:val="11"/>
        </w:numPr>
        <w:spacing w:line="360" w:lineRule="auto"/>
        <w:jc w:val="both"/>
        <w:rPr>
          <w:rFonts w:ascii="Trebuchet MS" w:hAnsi="Trebuchet MS"/>
          <w:sz w:val="24"/>
          <w:szCs w:val="24"/>
        </w:rPr>
      </w:pPr>
      <w:r w:rsidRPr="00834E2B">
        <w:rPr>
          <w:rFonts w:ascii="Trebuchet MS" w:hAnsi="Trebuchet MS"/>
          <w:sz w:val="24"/>
          <w:szCs w:val="24"/>
        </w:rPr>
        <w:t>Plan de préparation globale</w:t>
      </w:r>
    </w:p>
    <w:p w14:paraId="2FD817D3" w14:textId="32DCB903" w:rsidR="004D6816" w:rsidRPr="00F16622" w:rsidRDefault="004D6816" w:rsidP="004D6816">
      <w:pPr>
        <w:spacing w:after="0" w:line="276" w:lineRule="auto"/>
        <w:jc w:val="both"/>
        <w:rPr>
          <w:rFonts w:ascii="Trebuchet MS" w:hAnsi="Trebuchet MS"/>
        </w:rPr>
      </w:pPr>
      <w:r w:rsidRPr="00F16622">
        <w:rPr>
          <w:rFonts w:ascii="Trebuchet MS" w:hAnsi="Trebuchet MS"/>
        </w:rPr>
        <w:t xml:space="preserve">Le plan de préparation est articulé autour de 5 orientations stratégiques pour un coût global de 185.100.000 FCFA réparti comme suit :  </w:t>
      </w:r>
    </w:p>
    <w:p w14:paraId="63C47CA9" w14:textId="38ECF13F" w:rsidR="004D6816" w:rsidRPr="00F16622" w:rsidRDefault="004D6816" w:rsidP="004D6816">
      <w:pPr>
        <w:pStyle w:val="Paragraphedeliste"/>
        <w:numPr>
          <w:ilvl w:val="0"/>
          <w:numId w:val="13"/>
        </w:numPr>
        <w:spacing w:after="0" w:line="276" w:lineRule="auto"/>
        <w:jc w:val="both"/>
        <w:rPr>
          <w:rFonts w:ascii="Trebuchet MS" w:hAnsi="Trebuchet MS"/>
        </w:rPr>
      </w:pPr>
      <w:r w:rsidRPr="00F16622">
        <w:rPr>
          <w:rFonts w:ascii="Trebuchet MS" w:hAnsi="Trebuchet MS"/>
        </w:rPr>
        <w:t>Gouvernance et coordination : 73 285 000 FCFA ;</w:t>
      </w:r>
    </w:p>
    <w:p w14:paraId="37D25A5B" w14:textId="2E28A3C8" w:rsidR="004D6816" w:rsidRPr="00F16622" w:rsidRDefault="004D6816" w:rsidP="004D6816">
      <w:pPr>
        <w:pStyle w:val="Paragraphedeliste"/>
        <w:numPr>
          <w:ilvl w:val="0"/>
          <w:numId w:val="13"/>
        </w:numPr>
        <w:spacing w:after="0" w:line="276" w:lineRule="auto"/>
        <w:jc w:val="both"/>
        <w:rPr>
          <w:rFonts w:ascii="Trebuchet MS" w:hAnsi="Trebuchet MS"/>
        </w:rPr>
      </w:pPr>
      <w:r w:rsidRPr="00F16622">
        <w:rPr>
          <w:rFonts w:ascii="Trebuchet MS" w:hAnsi="Trebuchet MS"/>
        </w:rPr>
        <w:lastRenderedPageBreak/>
        <w:t>Résilience communautaire : 100 745 000 FCFA ;</w:t>
      </w:r>
    </w:p>
    <w:p w14:paraId="10758F36" w14:textId="25D62665" w:rsidR="004D6816" w:rsidRPr="00F16622" w:rsidRDefault="004D6816" w:rsidP="004D6816">
      <w:pPr>
        <w:pStyle w:val="Paragraphedeliste"/>
        <w:numPr>
          <w:ilvl w:val="0"/>
          <w:numId w:val="13"/>
        </w:numPr>
        <w:spacing w:after="0" w:line="276" w:lineRule="auto"/>
        <w:jc w:val="both"/>
        <w:rPr>
          <w:rFonts w:ascii="Trebuchet MS" w:hAnsi="Trebuchet MS"/>
        </w:rPr>
      </w:pPr>
      <w:r w:rsidRPr="00F16622">
        <w:rPr>
          <w:rFonts w:ascii="Trebuchet MS" w:hAnsi="Trebuchet MS"/>
        </w:rPr>
        <w:t xml:space="preserve">Sensibilisation et communication : 58 000 000 FCFA ; </w:t>
      </w:r>
    </w:p>
    <w:p w14:paraId="4B35196E" w14:textId="41679D4C" w:rsidR="004D6816" w:rsidRPr="00F16622" w:rsidRDefault="004D6816" w:rsidP="004D6816">
      <w:pPr>
        <w:pStyle w:val="Paragraphedeliste"/>
        <w:numPr>
          <w:ilvl w:val="0"/>
          <w:numId w:val="13"/>
        </w:numPr>
        <w:spacing w:after="0" w:line="276" w:lineRule="auto"/>
        <w:jc w:val="both"/>
        <w:rPr>
          <w:rFonts w:ascii="Trebuchet MS" w:hAnsi="Trebuchet MS"/>
        </w:rPr>
      </w:pPr>
      <w:r w:rsidRPr="00F16622">
        <w:rPr>
          <w:rFonts w:ascii="Trebuchet MS" w:hAnsi="Trebuchet MS"/>
        </w:rPr>
        <w:t>Renforcement des capacités : 62 000 000 FCFA ;</w:t>
      </w:r>
    </w:p>
    <w:p w14:paraId="0941FD33" w14:textId="3F0A55A9" w:rsidR="004D6816" w:rsidRPr="00F16622" w:rsidRDefault="004D6816" w:rsidP="004D6816">
      <w:pPr>
        <w:pStyle w:val="Paragraphedeliste"/>
        <w:numPr>
          <w:ilvl w:val="0"/>
          <w:numId w:val="13"/>
        </w:numPr>
        <w:spacing w:after="0" w:line="276" w:lineRule="auto"/>
        <w:jc w:val="both"/>
        <w:rPr>
          <w:rFonts w:ascii="Trebuchet MS" w:hAnsi="Trebuchet MS"/>
        </w:rPr>
      </w:pPr>
      <w:r w:rsidRPr="00F16622">
        <w:rPr>
          <w:rFonts w:ascii="Trebuchet MS" w:hAnsi="Trebuchet MS"/>
        </w:rPr>
        <w:t>Mécanismes d’alerte et veille : 47 070 000 FCFA.</w:t>
      </w:r>
    </w:p>
    <w:p w14:paraId="439B32EB" w14:textId="689E508B" w:rsidR="004D6816" w:rsidRPr="00834E2B" w:rsidRDefault="004D6816" w:rsidP="00F16622">
      <w:pPr>
        <w:pStyle w:val="Titre1"/>
        <w:numPr>
          <w:ilvl w:val="1"/>
          <w:numId w:val="11"/>
        </w:numPr>
        <w:spacing w:line="360" w:lineRule="auto"/>
        <w:jc w:val="both"/>
        <w:rPr>
          <w:rFonts w:ascii="Trebuchet MS" w:hAnsi="Trebuchet MS"/>
          <w:sz w:val="24"/>
          <w:szCs w:val="24"/>
        </w:rPr>
      </w:pPr>
      <w:r w:rsidRPr="00834E2B">
        <w:rPr>
          <w:rFonts w:ascii="Trebuchet MS" w:hAnsi="Trebuchet MS"/>
          <w:sz w:val="24"/>
          <w:szCs w:val="24"/>
        </w:rPr>
        <w:t>Plan de réponse globale</w:t>
      </w:r>
    </w:p>
    <w:p w14:paraId="23AB361F" w14:textId="1DB8780F" w:rsidR="00F16622" w:rsidRDefault="004D6816" w:rsidP="00F16622">
      <w:pPr>
        <w:spacing w:after="0" w:line="276" w:lineRule="auto"/>
        <w:ind w:right="-284"/>
        <w:jc w:val="both"/>
        <w:rPr>
          <w:rFonts w:ascii="Trebuchet MS" w:hAnsi="Trebuchet MS"/>
        </w:rPr>
      </w:pPr>
      <w:r w:rsidRPr="00F16622">
        <w:rPr>
          <w:rFonts w:ascii="Trebuchet MS" w:hAnsi="Trebuchet MS"/>
        </w:rPr>
        <w:t>Le plan de réponse comprend 4 orientations stratégiques pour un coût de 209 450 000 FCFA :</w:t>
      </w:r>
    </w:p>
    <w:p w14:paraId="413F9332" w14:textId="3A3879F3" w:rsidR="00F16622" w:rsidRPr="00F16622" w:rsidRDefault="004D6816" w:rsidP="00F16622">
      <w:pPr>
        <w:pStyle w:val="Paragraphedeliste"/>
        <w:numPr>
          <w:ilvl w:val="0"/>
          <w:numId w:val="16"/>
        </w:numPr>
        <w:spacing w:after="0" w:line="276" w:lineRule="auto"/>
        <w:jc w:val="both"/>
        <w:rPr>
          <w:rFonts w:ascii="Trebuchet MS" w:hAnsi="Trebuchet MS"/>
        </w:rPr>
      </w:pPr>
      <w:r w:rsidRPr="00F16622">
        <w:rPr>
          <w:rFonts w:ascii="Trebuchet MS" w:hAnsi="Trebuchet MS"/>
        </w:rPr>
        <w:t>Coordination et gestion de crise : 16 280 000 FCFA</w:t>
      </w:r>
      <w:r w:rsidR="00F16622" w:rsidRPr="00F16622">
        <w:rPr>
          <w:rFonts w:ascii="Trebuchet MS" w:hAnsi="Trebuchet MS"/>
        </w:rPr>
        <w:t xml:space="preserve"> ; </w:t>
      </w:r>
    </w:p>
    <w:p w14:paraId="693CF77D" w14:textId="77777777" w:rsidR="00F16622" w:rsidRDefault="004D6816" w:rsidP="00F16622">
      <w:pPr>
        <w:pStyle w:val="Paragraphedeliste"/>
        <w:numPr>
          <w:ilvl w:val="0"/>
          <w:numId w:val="14"/>
        </w:numPr>
        <w:spacing w:after="0" w:line="276" w:lineRule="auto"/>
        <w:jc w:val="both"/>
        <w:rPr>
          <w:rFonts w:ascii="Trebuchet MS" w:hAnsi="Trebuchet MS"/>
        </w:rPr>
      </w:pPr>
      <w:r w:rsidRPr="00F16622">
        <w:rPr>
          <w:rFonts w:ascii="Trebuchet MS" w:hAnsi="Trebuchet MS"/>
        </w:rPr>
        <w:t>Réponse humanitaire : 116 800 000 FCFA</w:t>
      </w:r>
      <w:r w:rsidR="00F16622">
        <w:rPr>
          <w:rFonts w:ascii="Trebuchet MS" w:hAnsi="Trebuchet MS"/>
        </w:rPr>
        <w:t xml:space="preserve"> ; </w:t>
      </w:r>
    </w:p>
    <w:p w14:paraId="65987B38" w14:textId="77777777" w:rsidR="00F16622" w:rsidRDefault="004D6816" w:rsidP="00F16622">
      <w:pPr>
        <w:pStyle w:val="Paragraphedeliste"/>
        <w:numPr>
          <w:ilvl w:val="0"/>
          <w:numId w:val="14"/>
        </w:numPr>
        <w:spacing w:after="0" w:line="276" w:lineRule="auto"/>
        <w:jc w:val="both"/>
        <w:rPr>
          <w:rFonts w:ascii="Trebuchet MS" w:hAnsi="Trebuchet MS"/>
        </w:rPr>
      </w:pPr>
      <w:r w:rsidRPr="00F16622">
        <w:rPr>
          <w:rFonts w:ascii="Trebuchet MS" w:hAnsi="Trebuchet MS"/>
        </w:rPr>
        <w:t>Services sociaux de base : 35 000 000 FCFA</w:t>
      </w:r>
      <w:r w:rsidR="00F16622">
        <w:rPr>
          <w:rFonts w:ascii="Trebuchet MS" w:hAnsi="Trebuchet MS"/>
        </w:rPr>
        <w:t xml:space="preserve"> ; </w:t>
      </w:r>
    </w:p>
    <w:p w14:paraId="05AB784D" w14:textId="3EA64FB4" w:rsidR="004D6816" w:rsidRPr="00F16622" w:rsidRDefault="004D6816" w:rsidP="00F16622">
      <w:pPr>
        <w:pStyle w:val="Paragraphedeliste"/>
        <w:numPr>
          <w:ilvl w:val="0"/>
          <w:numId w:val="14"/>
        </w:numPr>
        <w:spacing w:after="0" w:line="276" w:lineRule="auto"/>
        <w:jc w:val="both"/>
        <w:rPr>
          <w:rFonts w:ascii="Trebuchet MS" w:hAnsi="Trebuchet MS"/>
        </w:rPr>
      </w:pPr>
      <w:r w:rsidRPr="00F16622">
        <w:rPr>
          <w:rFonts w:ascii="Trebuchet MS" w:hAnsi="Trebuchet MS"/>
        </w:rPr>
        <w:t>Relance économique : 41 370 000 FCFA</w:t>
      </w:r>
      <w:r w:rsidR="00F16622">
        <w:rPr>
          <w:rFonts w:ascii="Trebuchet MS" w:hAnsi="Trebuchet MS"/>
        </w:rPr>
        <w:t>.</w:t>
      </w:r>
    </w:p>
    <w:p w14:paraId="6E88C757" w14:textId="3D9F825D" w:rsidR="004D6816" w:rsidRPr="00834E2B" w:rsidRDefault="004D6816" w:rsidP="00855AFE">
      <w:pPr>
        <w:pStyle w:val="Titre1"/>
        <w:numPr>
          <w:ilvl w:val="0"/>
          <w:numId w:val="7"/>
        </w:numPr>
        <w:spacing w:line="360" w:lineRule="auto"/>
        <w:jc w:val="both"/>
        <w:rPr>
          <w:rFonts w:ascii="Trebuchet MS" w:hAnsi="Trebuchet MS"/>
          <w:sz w:val="24"/>
          <w:szCs w:val="24"/>
        </w:rPr>
      </w:pPr>
      <w:r w:rsidRPr="00834E2B">
        <w:rPr>
          <w:rFonts w:ascii="Trebuchet MS" w:hAnsi="Trebuchet MS"/>
          <w:sz w:val="24"/>
          <w:szCs w:val="24"/>
        </w:rPr>
        <w:t>Mécanisme de mise en œuvre</w:t>
      </w:r>
    </w:p>
    <w:p w14:paraId="105441C7" w14:textId="77777777" w:rsidR="004D6816" w:rsidRPr="00834E2B" w:rsidRDefault="004D6816" w:rsidP="00F16622">
      <w:pPr>
        <w:spacing w:after="0" w:line="276" w:lineRule="auto"/>
        <w:jc w:val="both"/>
        <w:rPr>
          <w:rFonts w:ascii="Trebuchet MS" w:hAnsi="Trebuchet MS"/>
          <w:sz w:val="24"/>
          <w:szCs w:val="24"/>
        </w:rPr>
      </w:pPr>
      <w:r w:rsidRPr="00834E2B">
        <w:rPr>
          <w:rFonts w:ascii="Trebuchet MS" w:hAnsi="Trebuchet MS"/>
          <w:sz w:val="24"/>
          <w:szCs w:val="24"/>
        </w:rPr>
        <w:t>La gestion des catastrophes au Bénin repose sur une hiérarchie de responsabilités : le chef de village ou de quartier intervient en premier, relayé par le Maire via le Plan de Contingence Communal (PCC). En cas de dépassement des capacités communales, la préfecture prend le relais avec le Plan ORSEC, puis le niveau national avec le Plan de Contingence National, et enfin le système des Nations Unies si nécessaire. Chaque niveau s’appuie sur des plateformes de Réduction des Risques de Catastrophes (RRC).</w:t>
      </w:r>
    </w:p>
    <w:p w14:paraId="2F5FD721" w14:textId="77777777" w:rsidR="00F807D7" w:rsidRDefault="00F807D7" w:rsidP="00F16622">
      <w:pPr>
        <w:spacing w:after="0" w:line="276" w:lineRule="auto"/>
        <w:jc w:val="both"/>
        <w:rPr>
          <w:rFonts w:ascii="Trebuchet MS" w:hAnsi="Trebuchet MS"/>
          <w:sz w:val="24"/>
          <w:szCs w:val="24"/>
        </w:rPr>
      </w:pPr>
    </w:p>
    <w:p w14:paraId="0B116DB8" w14:textId="77777777" w:rsidR="00F807D7" w:rsidRDefault="00F807D7" w:rsidP="00F16622">
      <w:pPr>
        <w:spacing w:after="0" w:line="276" w:lineRule="auto"/>
        <w:jc w:val="both"/>
        <w:rPr>
          <w:rFonts w:ascii="Trebuchet MS" w:hAnsi="Trebuchet MS"/>
          <w:sz w:val="24"/>
          <w:szCs w:val="24"/>
        </w:rPr>
      </w:pPr>
    </w:p>
    <w:p w14:paraId="0B6C3BCC" w14:textId="02DB3A7F" w:rsidR="004D6816" w:rsidRPr="00834E2B" w:rsidRDefault="004D6816" w:rsidP="00F16622">
      <w:pPr>
        <w:spacing w:after="0" w:line="276" w:lineRule="auto"/>
        <w:jc w:val="both"/>
        <w:rPr>
          <w:rFonts w:ascii="Trebuchet MS" w:hAnsi="Trebuchet MS"/>
          <w:sz w:val="24"/>
          <w:szCs w:val="24"/>
        </w:rPr>
      </w:pPr>
      <w:r w:rsidRPr="00834E2B">
        <w:rPr>
          <w:rFonts w:ascii="Trebuchet MS" w:hAnsi="Trebuchet MS"/>
          <w:sz w:val="24"/>
          <w:szCs w:val="24"/>
        </w:rPr>
        <w:t xml:space="preserve">L’activation du PCC se fait sur alerte officielle ou en cas de désastre inattendu, avec ou sans signal du Maire. À la fin de l’urgence, il est désactivé au profit des plans de relèvement. </w:t>
      </w:r>
    </w:p>
    <w:p w14:paraId="523EC60B" w14:textId="77777777" w:rsidR="004D6816" w:rsidRPr="00834E2B" w:rsidRDefault="004D6816" w:rsidP="00F16622">
      <w:pPr>
        <w:spacing w:before="240" w:after="0" w:line="276" w:lineRule="auto"/>
        <w:jc w:val="both"/>
        <w:rPr>
          <w:rFonts w:ascii="Trebuchet MS" w:hAnsi="Trebuchet MS"/>
          <w:sz w:val="24"/>
          <w:szCs w:val="24"/>
        </w:rPr>
      </w:pPr>
      <w:r w:rsidRPr="00834E2B">
        <w:rPr>
          <w:rFonts w:ascii="Trebuchet MS" w:hAnsi="Trebuchet MS"/>
          <w:sz w:val="24"/>
          <w:szCs w:val="24"/>
        </w:rPr>
        <w:t>Le PCC est mis en oeuvre par une cellule communale de gestion des risques et catastrophes appuyée par la PCRRC. L’implication des services déconcentrés, des ONG, des PTF et de la société civile est prévue. Le PCC sera intégré aux documents de planification locale.</w:t>
      </w:r>
    </w:p>
    <w:p w14:paraId="4D407208" w14:textId="77777777" w:rsidR="004D6816" w:rsidRPr="00834E2B" w:rsidRDefault="004D6816" w:rsidP="00F16622">
      <w:pPr>
        <w:spacing w:before="240" w:after="0" w:line="276" w:lineRule="auto"/>
        <w:jc w:val="both"/>
        <w:rPr>
          <w:rFonts w:ascii="Trebuchet MS" w:hAnsi="Trebuchet MS"/>
          <w:sz w:val="24"/>
          <w:szCs w:val="24"/>
        </w:rPr>
      </w:pPr>
      <w:r w:rsidRPr="00834E2B">
        <w:rPr>
          <w:rFonts w:ascii="Trebuchet MS" w:hAnsi="Trebuchet MS"/>
          <w:sz w:val="24"/>
          <w:szCs w:val="24"/>
        </w:rPr>
        <w:t xml:space="preserve">Pour faciliter l’appropriation du PCC, la Commune doit élaborer un plan de communication incluant des supports adaptés : dépliants, affiches, traductions en langues locales, émissions radios, réunions communautaires, etc. </w:t>
      </w:r>
    </w:p>
    <w:p w14:paraId="3C63752C" w14:textId="4D9691C6" w:rsidR="004D6816" w:rsidRPr="00834E2B" w:rsidRDefault="004D6816" w:rsidP="00855AFE">
      <w:pPr>
        <w:pStyle w:val="Titre1"/>
        <w:numPr>
          <w:ilvl w:val="0"/>
          <w:numId w:val="7"/>
        </w:numPr>
        <w:spacing w:line="360" w:lineRule="auto"/>
        <w:jc w:val="both"/>
        <w:rPr>
          <w:rFonts w:ascii="Trebuchet MS" w:hAnsi="Trebuchet MS"/>
          <w:sz w:val="24"/>
          <w:szCs w:val="24"/>
        </w:rPr>
      </w:pPr>
      <w:r w:rsidRPr="00834E2B">
        <w:rPr>
          <w:rFonts w:ascii="Trebuchet MS" w:hAnsi="Trebuchet MS"/>
          <w:sz w:val="24"/>
          <w:szCs w:val="24"/>
        </w:rPr>
        <w:t>Mobilisation des ressources</w:t>
      </w:r>
    </w:p>
    <w:p w14:paraId="534946B6" w14:textId="5B20100B" w:rsidR="00F16622" w:rsidRDefault="004D6816" w:rsidP="00F16622">
      <w:pPr>
        <w:spacing w:after="0" w:line="276" w:lineRule="auto"/>
        <w:jc w:val="both"/>
        <w:rPr>
          <w:rFonts w:ascii="Trebuchet MS" w:hAnsi="Trebuchet MS"/>
          <w:sz w:val="24"/>
          <w:szCs w:val="24"/>
        </w:rPr>
      </w:pPr>
      <w:r w:rsidRPr="00834E2B">
        <w:rPr>
          <w:rFonts w:ascii="Trebuchet MS" w:hAnsi="Trebuchet MS"/>
          <w:sz w:val="24"/>
          <w:szCs w:val="24"/>
        </w:rPr>
        <w:t xml:space="preserve">Les financements proviendront du budget communal, des partenaires techniques et financiers, </w:t>
      </w:r>
      <w:r w:rsidR="00F16622">
        <w:rPr>
          <w:rFonts w:ascii="Trebuchet MS" w:hAnsi="Trebuchet MS"/>
          <w:sz w:val="24"/>
          <w:szCs w:val="24"/>
        </w:rPr>
        <w:t xml:space="preserve">de l’état central à travers </w:t>
      </w:r>
      <w:r w:rsidRPr="00834E2B">
        <w:rPr>
          <w:rFonts w:ascii="Trebuchet MS" w:hAnsi="Trebuchet MS"/>
          <w:sz w:val="24"/>
          <w:szCs w:val="24"/>
        </w:rPr>
        <w:t xml:space="preserve">des fonds spéciaux </w:t>
      </w:r>
      <w:r w:rsidR="00F16622">
        <w:rPr>
          <w:rFonts w:ascii="Trebuchet MS" w:hAnsi="Trebuchet MS"/>
          <w:sz w:val="24"/>
          <w:szCs w:val="24"/>
        </w:rPr>
        <w:t xml:space="preserve">(FADeC) ou </w:t>
      </w:r>
      <w:r w:rsidRPr="00834E2B">
        <w:rPr>
          <w:rFonts w:ascii="Trebuchet MS" w:hAnsi="Trebuchet MS"/>
          <w:sz w:val="24"/>
          <w:szCs w:val="24"/>
        </w:rPr>
        <w:t>d’intervention d’urgence (ANPC, FONCAT),</w:t>
      </w:r>
      <w:r w:rsidR="00F16622">
        <w:rPr>
          <w:rFonts w:ascii="Trebuchet MS" w:hAnsi="Trebuchet MS"/>
          <w:sz w:val="24"/>
          <w:szCs w:val="24"/>
        </w:rPr>
        <w:t xml:space="preserve"> et du secteur privé. </w:t>
      </w:r>
    </w:p>
    <w:p w14:paraId="5D6CA5F1" w14:textId="77777777" w:rsidR="004C0EEF" w:rsidRDefault="004C0EEF" w:rsidP="00F16622">
      <w:pPr>
        <w:spacing w:after="0" w:line="276" w:lineRule="auto"/>
        <w:jc w:val="both"/>
        <w:rPr>
          <w:rFonts w:ascii="Trebuchet MS" w:hAnsi="Trebuchet MS"/>
          <w:sz w:val="24"/>
          <w:szCs w:val="24"/>
        </w:rPr>
      </w:pPr>
    </w:p>
    <w:p w14:paraId="6CEA47C6" w14:textId="77777777" w:rsidR="004C0EEF" w:rsidRDefault="004C0EEF" w:rsidP="00F16622">
      <w:pPr>
        <w:spacing w:after="0" w:line="276" w:lineRule="auto"/>
        <w:jc w:val="both"/>
        <w:rPr>
          <w:rFonts w:ascii="Trebuchet MS" w:hAnsi="Trebuchet MS"/>
          <w:sz w:val="24"/>
          <w:szCs w:val="24"/>
        </w:rPr>
      </w:pPr>
    </w:p>
    <w:p w14:paraId="3DB45BEF" w14:textId="77777777" w:rsidR="004C0EEF" w:rsidRDefault="004C0EEF" w:rsidP="00F16622">
      <w:pPr>
        <w:spacing w:after="0" w:line="276" w:lineRule="auto"/>
        <w:jc w:val="both"/>
        <w:rPr>
          <w:rFonts w:ascii="Trebuchet MS" w:hAnsi="Trebuchet MS"/>
          <w:sz w:val="24"/>
          <w:szCs w:val="24"/>
        </w:rPr>
      </w:pPr>
    </w:p>
    <w:p w14:paraId="323C930E" w14:textId="77777777" w:rsidR="004C0EEF" w:rsidRDefault="004C0EEF" w:rsidP="00F16622">
      <w:pPr>
        <w:spacing w:after="0" w:line="276" w:lineRule="auto"/>
        <w:jc w:val="both"/>
        <w:rPr>
          <w:rFonts w:ascii="Trebuchet MS" w:hAnsi="Trebuchet MS"/>
          <w:sz w:val="24"/>
          <w:szCs w:val="24"/>
        </w:rPr>
      </w:pPr>
    </w:p>
    <w:p w14:paraId="7B818EB8" w14:textId="77777777" w:rsidR="004C0EEF" w:rsidRDefault="004C0EEF" w:rsidP="00F16622">
      <w:pPr>
        <w:spacing w:after="0" w:line="276" w:lineRule="auto"/>
        <w:jc w:val="both"/>
        <w:rPr>
          <w:rFonts w:ascii="Trebuchet MS" w:hAnsi="Trebuchet MS"/>
          <w:sz w:val="24"/>
          <w:szCs w:val="24"/>
        </w:rPr>
      </w:pPr>
    </w:p>
    <w:p w14:paraId="4E92F1C6" w14:textId="41018C8D" w:rsidR="004D6816" w:rsidRDefault="004D6816" w:rsidP="00F16622">
      <w:pPr>
        <w:spacing w:after="0" w:line="276" w:lineRule="auto"/>
        <w:jc w:val="both"/>
        <w:rPr>
          <w:rFonts w:ascii="Trebuchet MS" w:hAnsi="Trebuchet MS"/>
          <w:sz w:val="24"/>
          <w:szCs w:val="24"/>
        </w:rPr>
      </w:pPr>
      <w:r w:rsidRPr="00834E2B">
        <w:rPr>
          <w:rFonts w:ascii="Trebuchet MS" w:hAnsi="Trebuchet MS"/>
          <w:sz w:val="24"/>
          <w:szCs w:val="24"/>
        </w:rPr>
        <w:t xml:space="preserve">Toutefois, les ressources restent insuffisantes, en particulier pour les phases de reconstruction. Un « Fonds Spécial PRRC-ACC » est proposé pour renforcer la réactivité locale. La coordination entre les bailleurs et la bonne allocation des fonds sont essentielles. </w:t>
      </w:r>
    </w:p>
    <w:p w14:paraId="55D88C5B" w14:textId="77777777" w:rsidR="00F807D7" w:rsidRDefault="00F807D7" w:rsidP="00F16622">
      <w:pPr>
        <w:spacing w:after="0" w:line="276" w:lineRule="auto"/>
        <w:jc w:val="both"/>
        <w:rPr>
          <w:rFonts w:ascii="Trebuchet MS" w:hAnsi="Trebuchet MS"/>
          <w:sz w:val="24"/>
          <w:szCs w:val="24"/>
        </w:rPr>
      </w:pPr>
    </w:p>
    <w:p w14:paraId="76521C22" w14:textId="17FFD239" w:rsidR="004D6816" w:rsidRPr="00834E2B" w:rsidRDefault="004D6816" w:rsidP="00855AFE">
      <w:pPr>
        <w:pStyle w:val="Titre1"/>
        <w:numPr>
          <w:ilvl w:val="0"/>
          <w:numId w:val="7"/>
        </w:numPr>
        <w:spacing w:line="360" w:lineRule="auto"/>
        <w:jc w:val="both"/>
        <w:rPr>
          <w:rFonts w:ascii="Trebuchet MS" w:hAnsi="Trebuchet MS"/>
          <w:sz w:val="24"/>
          <w:szCs w:val="24"/>
        </w:rPr>
      </w:pPr>
      <w:r w:rsidRPr="00834E2B">
        <w:rPr>
          <w:rFonts w:ascii="Trebuchet MS" w:hAnsi="Trebuchet MS"/>
          <w:sz w:val="24"/>
          <w:szCs w:val="24"/>
        </w:rPr>
        <w:lastRenderedPageBreak/>
        <w:t>Suivi et évaluation</w:t>
      </w:r>
    </w:p>
    <w:p w14:paraId="0842321A" w14:textId="7ECF7D2C" w:rsidR="004D6816" w:rsidRPr="004D6816" w:rsidRDefault="004D6816" w:rsidP="004D6816">
      <w:pPr>
        <w:spacing w:line="360" w:lineRule="auto"/>
        <w:jc w:val="both"/>
        <w:rPr>
          <w:rFonts w:ascii="Trebuchet MS" w:hAnsi="Trebuchet MS"/>
          <w:sz w:val="24"/>
          <w:szCs w:val="24"/>
        </w:rPr>
      </w:pPr>
      <w:r w:rsidRPr="00834E2B">
        <w:rPr>
          <w:rFonts w:ascii="Trebuchet MS" w:hAnsi="Trebuchet MS"/>
          <w:sz w:val="24"/>
          <w:szCs w:val="24"/>
        </w:rPr>
        <w:t xml:space="preserve">Un mécanisme de suivi-évaluation sera mis en place avec des indicateurs de performance, des évaluations annuelles, la capitalisation des retours d’expérience, la mise à jour régulière du PCC et la vulgarisation des résultats obtenus. Egalement, le PCC doit être mis à jour chaque année. Cela implique la diffusion des informations, la formation des acteurs, des exercices de simulation, la révision du plan selon les changements observés, et une bonne communication des versions actualisées. </w:t>
      </w:r>
    </w:p>
    <w:p w14:paraId="1D9B40D1" w14:textId="45D38DEB" w:rsidR="004D6816" w:rsidRPr="004D6816" w:rsidRDefault="004D6816" w:rsidP="004D6816">
      <w:pPr>
        <w:pStyle w:val="Titre1"/>
        <w:spacing w:line="360" w:lineRule="auto"/>
        <w:jc w:val="both"/>
        <w:rPr>
          <w:rFonts w:ascii="Trebuchet MS" w:hAnsi="Trebuchet MS"/>
          <w:sz w:val="24"/>
          <w:szCs w:val="24"/>
        </w:rPr>
      </w:pPr>
      <w:r w:rsidRPr="004D6816">
        <w:rPr>
          <w:rFonts w:ascii="Trebuchet MS" w:hAnsi="Trebuchet MS"/>
          <w:sz w:val="24"/>
          <w:szCs w:val="24"/>
        </w:rPr>
        <w:t>Conclusion</w:t>
      </w:r>
    </w:p>
    <w:p w14:paraId="2161C20E" w14:textId="730C7957" w:rsidR="004D6816" w:rsidRPr="001663E2" w:rsidRDefault="001663E2" w:rsidP="00F807D7">
      <w:pPr>
        <w:spacing w:before="240" w:line="360" w:lineRule="auto"/>
        <w:jc w:val="both"/>
        <w:rPr>
          <w:rFonts w:ascii="Trebuchet MS" w:hAnsi="Trebuchet MS"/>
        </w:rPr>
      </w:pPr>
      <w:r w:rsidRPr="001663E2">
        <w:rPr>
          <w:rFonts w:ascii="Trebuchet MS" w:hAnsi="Trebuchet MS"/>
        </w:rPr>
        <w:t xml:space="preserve">La Commune de Natitingou est fortement exposée à divers risques naturels et anthropiques, notamment la sécheresse, les vents violents, les conflits agropastoraux, l’érosion pluviale, les accidents de circulation, les inondations et les incendies. Ces aléas affectent gravement les secteurs clés tels que l’agriculture, l’élevage, la santé, l’éducation et le transport, aggravant la pauvreté locale. Le changement climatique et la déforestation accentuent les phénomènes extrêmes, entraînant insécurité alimentaire, exode rural et déscolarisation. Ce diagnostic constitue un outil essentiel pour planifier des réponses adaptées face à ces risques. </w:t>
      </w:r>
      <w:bookmarkEnd w:id="0"/>
      <w:bookmarkEnd w:id="1"/>
    </w:p>
    <w:sectPr w:rsidR="004D6816" w:rsidRPr="001663E2" w:rsidSect="00F16622">
      <w:footerReference w:type="default" r:id="rId13"/>
      <w:pgSz w:w="11906" w:h="16838"/>
      <w:pgMar w:top="567" w:right="849" w:bottom="42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3DB40" w14:textId="77777777" w:rsidR="009A4E2D" w:rsidRDefault="009A4E2D" w:rsidP="00F807D7">
      <w:pPr>
        <w:spacing w:after="0" w:line="240" w:lineRule="auto"/>
      </w:pPr>
      <w:r>
        <w:separator/>
      </w:r>
    </w:p>
  </w:endnote>
  <w:endnote w:type="continuationSeparator" w:id="0">
    <w:p w14:paraId="2D878EA2" w14:textId="77777777" w:rsidR="009A4E2D" w:rsidRDefault="009A4E2D" w:rsidP="00F80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rebuchet MS">
    <w:altName w:val="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9045788"/>
      <w:docPartObj>
        <w:docPartGallery w:val="Page Numbers (Bottom of Page)"/>
        <w:docPartUnique/>
      </w:docPartObj>
    </w:sdtPr>
    <w:sdtContent>
      <w:p w14:paraId="77357D32" w14:textId="208F6DC8" w:rsidR="00F807D7" w:rsidRDefault="00F807D7">
        <w:pPr>
          <w:pStyle w:val="Pieddepage"/>
          <w:jc w:val="right"/>
        </w:pPr>
        <w:r>
          <w:fldChar w:fldCharType="begin"/>
        </w:r>
        <w:r>
          <w:instrText>PAGE   \* MERGEFORMAT</w:instrText>
        </w:r>
        <w:r>
          <w:fldChar w:fldCharType="separate"/>
        </w:r>
        <w:r>
          <w:t>2</w:t>
        </w:r>
        <w:r>
          <w:fldChar w:fldCharType="end"/>
        </w:r>
      </w:p>
    </w:sdtContent>
  </w:sdt>
  <w:p w14:paraId="35967DBF" w14:textId="77777777" w:rsidR="00F807D7" w:rsidRDefault="00F807D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231A3" w14:textId="77777777" w:rsidR="009A4E2D" w:rsidRDefault="009A4E2D" w:rsidP="00F807D7">
      <w:pPr>
        <w:spacing w:after="0" w:line="240" w:lineRule="auto"/>
      </w:pPr>
      <w:r>
        <w:separator/>
      </w:r>
    </w:p>
  </w:footnote>
  <w:footnote w:type="continuationSeparator" w:id="0">
    <w:p w14:paraId="021D3D4E" w14:textId="77777777" w:rsidR="009A4E2D" w:rsidRDefault="009A4E2D" w:rsidP="00F807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836E5"/>
    <w:multiLevelType w:val="multilevel"/>
    <w:tmpl w:val="197E47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6C51B8"/>
    <w:multiLevelType w:val="hybridMultilevel"/>
    <w:tmpl w:val="8A624D00"/>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0F242AB"/>
    <w:multiLevelType w:val="multilevel"/>
    <w:tmpl w:val="DC96E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AA3D3E"/>
    <w:multiLevelType w:val="hybridMultilevel"/>
    <w:tmpl w:val="5F3866AC"/>
    <w:lvl w:ilvl="0" w:tplc="465801FE">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6054F70"/>
    <w:multiLevelType w:val="hybridMultilevel"/>
    <w:tmpl w:val="8482F60C"/>
    <w:lvl w:ilvl="0" w:tplc="465801FE">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EC91C28"/>
    <w:multiLevelType w:val="multilevel"/>
    <w:tmpl w:val="D77C7136"/>
    <w:lvl w:ilvl="0">
      <w:start w:val="2"/>
      <w:numFmt w:val="decimal"/>
      <w:lvlText w:val="%1."/>
      <w:lvlJc w:val="left"/>
      <w:pPr>
        <w:ind w:left="432" w:hanging="432"/>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45E36A67"/>
    <w:multiLevelType w:val="hybridMultilevel"/>
    <w:tmpl w:val="0186C06E"/>
    <w:lvl w:ilvl="0" w:tplc="040C0001">
      <w:start w:val="1"/>
      <w:numFmt w:val="bullet"/>
      <w:lvlText w:val=""/>
      <w:lvlJc w:val="left"/>
      <w:pPr>
        <w:ind w:left="813" w:hanging="360"/>
      </w:pPr>
      <w:rPr>
        <w:rFonts w:ascii="Symbol" w:hAnsi="Symbol" w:hint="default"/>
      </w:rPr>
    </w:lvl>
    <w:lvl w:ilvl="1" w:tplc="FFFFFFFF" w:tentative="1">
      <w:start w:val="1"/>
      <w:numFmt w:val="bullet"/>
      <w:lvlText w:val="o"/>
      <w:lvlJc w:val="left"/>
      <w:pPr>
        <w:ind w:left="1533" w:hanging="360"/>
      </w:pPr>
      <w:rPr>
        <w:rFonts w:ascii="Courier New" w:hAnsi="Courier New" w:cs="Courier New" w:hint="default"/>
      </w:rPr>
    </w:lvl>
    <w:lvl w:ilvl="2" w:tplc="FFFFFFFF" w:tentative="1">
      <w:start w:val="1"/>
      <w:numFmt w:val="bullet"/>
      <w:lvlText w:val=""/>
      <w:lvlJc w:val="left"/>
      <w:pPr>
        <w:ind w:left="2253" w:hanging="360"/>
      </w:pPr>
      <w:rPr>
        <w:rFonts w:ascii="Wingdings" w:hAnsi="Wingdings" w:hint="default"/>
      </w:rPr>
    </w:lvl>
    <w:lvl w:ilvl="3" w:tplc="FFFFFFFF" w:tentative="1">
      <w:start w:val="1"/>
      <w:numFmt w:val="bullet"/>
      <w:lvlText w:val=""/>
      <w:lvlJc w:val="left"/>
      <w:pPr>
        <w:ind w:left="2973" w:hanging="360"/>
      </w:pPr>
      <w:rPr>
        <w:rFonts w:ascii="Symbol" w:hAnsi="Symbol" w:hint="default"/>
      </w:rPr>
    </w:lvl>
    <w:lvl w:ilvl="4" w:tplc="FFFFFFFF" w:tentative="1">
      <w:start w:val="1"/>
      <w:numFmt w:val="bullet"/>
      <w:lvlText w:val="o"/>
      <w:lvlJc w:val="left"/>
      <w:pPr>
        <w:ind w:left="3693" w:hanging="360"/>
      </w:pPr>
      <w:rPr>
        <w:rFonts w:ascii="Courier New" w:hAnsi="Courier New" w:cs="Courier New" w:hint="default"/>
      </w:rPr>
    </w:lvl>
    <w:lvl w:ilvl="5" w:tplc="FFFFFFFF" w:tentative="1">
      <w:start w:val="1"/>
      <w:numFmt w:val="bullet"/>
      <w:lvlText w:val=""/>
      <w:lvlJc w:val="left"/>
      <w:pPr>
        <w:ind w:left="4413" w:hanging="360"/>
      </w:pPr>
      <w:rPr>
        <w:rFonts w:ascii="Wingdings" w:hAnsi="Wingdings" w:hint="default"/>
      </w:rPr>
    </w:lvl>
    <w:lvl w:ilvl="6" w:tplc="FFFFFFFF" w:tentative="1">
      <w:start w:val="1"/>
      <w:numFmt w:val="bullet"/>
      <w:lvlText w:val=""/>
      <w:lvlJc w:val="left"/>
      <w:pPr>
        <w:ind w:left="5133" w:hanging="360"/>
      </w:pPr>
      <w:rPr>
        <w:rFonts w:ascii="Symbol" w:hAnsi="Symbol" w:hint="default"/>
      </w:rPr>
    </w:lvl>
    <w:lvl w:ilvl="7" w:tplc="FFFFFFFF" w:tentative="1">
      <w:start w:val="1"/>
      <w:numFmt w:val="bullet"/>
      <w:lvlText w:val="o"/>
      <w:lvlJc w:val="left"/>
      <w:pPr>
        <w:ind w:left="5853" w:hanging="360"/>
      </w:pPr>
      <w:rPr>
        <w:rFonts w:ascii="Courier New" w:hAnsi="Courier New" w:cs="Courier New" w:hint="default"/>
      </w:rPr>
    </w:lvl>
    <w:lvl w:ilvl="8" w:tplc="FFFFFFFF" w:tentative="1">
      <w:start w:val="1"/>
      <w:numFmt w:val="bullet"/>
      <w:lvlText w:val=""/>
      <w:lvlJc w:val="left"/>
      <w:pPr>
        <w:ind w:left="6573" w:hanging="360"/>
      </w:pPr>
      <w:rPr>
        <w:rFonts w:ascii="Wingdings" w:hAnsi="Wingdings" w:hint="default"/>
      </w:rPr>
    </w:lvl>
  </w:abstractNum>
  <w:abstractNum w:abstractNumId="7" w15:restartNumberingAfterBreak="0">
    <w:nsid w:val="59C65020"/>
    <w:multiLevelType w:val="hybridMultilevel"/>
    <w:tmpl w:val="2BBEA62E"/>
    <w:lvl w:ilvl="0" w:tplc="465801FE">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610A78FF"/>
    <w:multiLevelType w:val="hybridMultilevel"/>
    <w:tmpl w:val="3DC079AA"/>
    <w:lvl w:ilvl="0" w:tplc="040C0001">
      <w:start w:val="1"/>
      <w:numFmt w:val="bullet"/>
      <w:lvlText w:val=""/>
      <w:lvlJc w:val="left"/>
      <w:pPr>
        <w:ind w:left="1039" w:hanging="360"/>
      </w:pPr>
      <w:rPr>
        <w:rFonts w:ascii="Symbol" w:hAnsi="Symbol" w:hint="default"/>
      </w:rPr>
    </w:lvl>
    <w:lvl w:ilvl="1" w:tplc="040C0003" w:tentative="1">
      <w:start w:val="1"/>
      <w:numFmt w:val="bullet"/>
      <w:lvlText w:val="o"/>
      <w:lvlJc w:val="left"/>
      <w:pPr>
        <w:ind w:left="1759" w:hanging="360"/>
      </w:pPr>
      <w:rPr>
        <w:rFonts w:ascii="Courier New" w:hAnsi="Courier New" w:cs="Courier New" w:hint="default"/>
      </w:rPr>
    </w:lvl>
    <w:lvl w:ilvl="2" w:tplc="040C0005" w:tentative="1">
      <w:start w:val="1"/>
      <w:numFmt w:val="bullet"/>
      <w:lvlText w:val=""/>
      <w:lvlJc w:val="left"/>
      <w:pPr>
        <w:ind w:left="2479" w:hanging="360"/>
      </w:pPr>
      <w:rPr>
        <w:rFonts w:ascii="Wingdings" w:hAnsi="Wingdings" w:hint="default"/>
      </w:rPr>
    </w:lvl>
    <w:lvl w:ilvl="3" w:tplc="040C0001" w:tentative="1">
      <w:start w:val="1"/>
      <w:numFmt w:val="bullet"/>
      <w:lvlText w:val=""/>
      <w:lvlJc w:val="left"/>
      <w:pPr>
        <w:ind w:left="3199" w:hanging="360"/>
      </w:pPr>
      <w:rPr>
        <w:rFonts w:ascii="Symbol" w:hAnsi="Symbol" w:hint="default"/>
      </w:rPr>
    </w:lvl>
    <w:lvl w:ilvl="4" w:tplc="040C0003" w:tentative="1">
      <w:start w:val="1"/>
      <w:numFmt w:val="bullet"/>
      <w:lvlText w:val="o"/>
      <w:lvlJc w:val="left"/>
      <w:pPr>
        <w:ind w:left="3919" w:hanging="360"/>
      </w:pPr>
      <w:rPr>
        <w:rFonts w:ascii="Courier New" w:hAnsi="Courier New" w:cs="Courier New" w:hint="default"/>
      </w:rPr>
    </w:lvl>
    <w:lvl w:ilvl="5" w:tplc="040C0005" w:tentative="1">
      <w:start w:val="1"/>
      <w:numFmt w:val="bullet"/>
      <w:lvlText w:val=""/>
      <w:lvlJc w:val="left"/>
      <w:pPr>
        <w:ind w:left="4639" w:hanging="360"/>
      </w:pPr>
      <w:rPr>
        <w:rFonts w:ascii="Wingdings" w:hAnsi="Wingdings" w:hint="default"/>
      </w:rPr>
    </w:lvl>
    <w:lvl w:ilvl="6" w:tplc="040C0001" w:tentative="1">
      <w:start w:val="1"/>
      <w:numFmt w:val="bullet"/>
      <w:lvlText w:val=""/>
      <w:lvlJc w:val="left"/>
      <w:pPr>
        <w:ind w:left="5359" w:hanging="360"/>
      </w:pPr>
      <w:rPr>
        <w:rFonts w:ascii="Symbol" w:hAnsi="Symbol" w:hint="default"/>
      </w:rPr>
    </w:lvl>
    <w:lvl w:ilvl="7" w:tplc="040C0003" w:tentative="1">
      <w:start w:val="1"/>
      <w:numFmt w:val="bullet"/>
      <w:lvlText w:val="o"/>
      <w:lvlJc w:val="left"/>
      <w:pPr>
        <w:ind w:left="6079" w:hanging="360"/>
      </w:pPr>
      <w:rPr>
        <w:rFonts w:ascii="Courier New" w:hAnsi="Courier New" w:cs="Courier New" w:hint="default"/>
      </w:rPr>
    </w:lvl>
    <w:lvl w:ilvl="8" w:tplc="040C0005" w:tentative="1">
      <w:start w:val="1"/>
      <w:numFmt w:val="bullet"/>
      <w:lvlText w:val=""/>
      <w:lvlJc w:val="left"/>
      <w:pPr>
        <w:ind w:left="6799" w:hanging="360"/>
      </w:pPr>
      <w:rPr>
        <w:rFonts w:ascii="Wingdings" w:hAnsi="Wingdings" w:hint="default"/>
      </w:rPr>
    </w:lvl>
  </w:abstractNum>
  <w:abstractNum w:abstractNumId="9" w15:restartNumberingAfterBreak="0">
    <w:nsid w:val="61CE753C"/>
    <w:multiLevelType w:val="hybridMultilevel"/>
    <w:tmpl w:val="7EE81B44"/>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65163B3A"/>
    <w:multiLevelType w:val="hybridMultilevel"/>
    <w:tmpl w:val="D186BF88"/>
    <w:lvl w:ilvl="0" w:tplc="465801FE">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6ACA0BAF"/>
    <w:multiLevelType w:val="multilevel"/>
    <w:tmpl w:val="B284F2CE"/>
    <w:lvl w:ilvl="0">
      <w:start w:val="3"/>
      <w:numFmt w:val="decimal"/>
      <w:lvlText w:val="%1."/>
      <w:lvlJc w:val="left"/>
      <w:pPr>
        <w:ind w:left="432" w:hanging="432"/>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2" w15:restartNumberingAfterBreak="0">
    <w:nsid w:val="70B22DDC"/>
    <w:multiLevelType w:val="hybridMultilevel"/>
    <w:tmpl w:val="2F14988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7446021A"/>
    <w:multiLevelType w:val="multilevel"/>
    <w:tmpl w:val="274A87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8"/>
      <w:numFmt w:val="upp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6F1E05"/>
    <w:multiLevelType w:val="hybridMultilevel"/>
    <w:tmpl w:val="37D8DE56"/>
    <w:lvl w:ilvl="0" w:tplc="24986506">
      <w:start w:val="1"/>
      <w:numFmt w:val="upperRoman"/>
      <w:lvlText w:val="%1."/>
      <w:lvlJc w:val="left"/>
      <w:pPr>
        <w:ind w:left="1080" w:hanging="720"/>
      </w:pPr>
      <w:rPr>
        <w:rFonts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7B5368F9"/>
    <w:multiLevelType w:val="hybridMultilevel"/>
    <w:tmpl w:val="80666092"/>
    <w:lvl w:ilvl="0" w:tplc="2598AA48">
      <w:start w:val="1"/>
      <w:numFmt w:val="bullet"/>
      <w:lvlText w:val="-"/>
      <w:lvlJc w:val="left"/>
      <w:pPr>
        <w:ind w:left="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1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19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6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3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0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7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5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2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7BF12C54"/>
    <w:multiLevelType w:val="hybridMultilevel"/>
    <w:tmpl w:val="018A7408"/>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7D2079B8"/>
    <w:multiLevelType w:val="multilevel"/>
    <w:tmpl w:val="4A50558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5042366">
    <w:abstractNumId w:val="15"/>
  </w:num>
  <w:num w:numId="2" w16cid:durableId="1876186570">
    <w:abstractNumId w:val="6"/>
  </w:num>
  <w:num w:numId="3" w16cid:durableId="639459783">
    <w:abstractNumId w:val="8"/>
  </w:num>
  <w:num w:numId="4" w16cid:durableId="621959717">
    <w:abstractNumId w:val="0"/>
  </w:num>
  <w:num w:numId="5" w16cid:durableId="1300721168">
    <w:abstractNumId w:val="17"/>
  </w:num>
  <w:num w:numId="6" w16cid:durableId="1180894286">
    <w:abstractNumId w:val="2"/>
  </w:num>
  <w:num w:numId="7" w16cid:durableId="2076009055">
    <w:abstractNumId w:val="14"/>
  </w:num>
  <w:num w:numId="8" w16cid:durableId="505169807">
    <w:abstractNumId w:val="1"/>
  </w:num>
  <w:num w:numId="9" w16cid:durableId="1637056008">
    <w:abstractNumId w:val="5"/>
  </w:num>
  <w:num w:numId="10" w16cid:durableId="664211831">
    <w:abstractNumId w:val="11"/>
  </w:num>
  <w:num w:numId="11" w16cid:durableId="1954704544">
    <w:abstractNumId w:val="13"/>
  </w:num>
  <w:num w:numId="12" w16cid:durableId="1253900608">
    <w:abstractNumId w:val="12"/>
  </w:num>
  <w:num w:numId="13" w16cid:durableId="696203032">
    <w:abstractNumId w:val="10"/>
  </w:num>
  <w:num w:numId="14" w16cid:durableId="1713840253">
    <w:abstractNumId w:val="4"/>
  </w:num>
  <w:num w:numId="15" w16cid:durableId="1337003400">
    <w:abstractNumId w:val="7"/>
  </w:num>
  <w:num w:numId="16" w16cid:durableId="1657536739">
    <w:abstractNumId w:val="3"/>
  </w:num>
  <w:num w:numId="17" w16cid:durableId="286664502">
    <w:abstractNumId w:val="16"/>
  </w:num>
  <w:num w:numId="18" w16cid:durableId="6149427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816"/>
    <w:rsid w:val="000244E7"/>
    <w:rsid w:val="000C2BF6"/>
    <w:rsid w:val="000C4682"/>
    <w:rsid w:val="00111440"/>
    <w:rsid w:val="001663E2"/>
    <w:rsid w:val="00222CCC"/>
    <w:rsid w:val="002637D8"/>
    <w:rsid w:val="004C0EEF"/>
    <w:rsid w:val="004D6816"/>
    <w:rsid w:val="005D73FC"/>
    <w:rsid w:val="00804901"/>
    <w:rsid w:val="008309F0"/>
    <w:rsid w:val="00855AFE"/>
    <w:rsid w:val="009A4E2D"/>
    <w:rsid w:val="00F16622"/>
    <w:rsid w:val="00F23864"/>
    <w:rsid w:val="00F43E99"/>
    <w:rsid w:val="00F807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E410B"/>
  <w15:chartTrackingRefBased/>
  <w15:docId w15:val="{4CE79F21-8D8F-4D89-8AF1-58F5F2123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816"/>
  </w:style>
  <w:style w:type="paragraph" w:styleId="Titre1">
    <w:name w:val="heading 1"/>
    <w:basedOn w:val="Normal"/>
    <w:next w:val="Normal"/>
    <w:link w:val="Titre1Car"/>
    <w:uiPriority w:val="9"/>
    <w:qFormat/>
    <w:rsid w:val="004D681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semiHidden/>
    <w:unhideWhenUsed/>
    <w:qFormat/>
    <w:rsid w:val="004D681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4D6816"/>
    <w:pPr>
      <w:keepNext/>
      <w:keepLines/>
      <w:spacing w:before="160" w:after="80"/>
      <w:outlineLvl w:val="2"/>
    </w:pPr>
    <w:rPr>
      <w:rFonts w:eastAsiaTheme="majorEastAsia"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4D6816"/>
    <w:pPr>
      <w:keepNext/>
      <w:keepLines/>
      <w:spacing w:before="80" w:after="40"/>
      <w:outlineLvl w:val="3"/>
    </w:pPr>
    <w:rPr>
      <w:rFonts w:eastAsiaTheme="majorEastAsia" w:cstheme="majorBidi"/>
      <w:i/>
      <w:iCs/>
      <w:color w:val="2E74B5" w:themeColor="accent1" w:themeShade="BF"/>
    </w:rPr>
  </w:style>
  <w:style w:type="paragraph" w:styleId="Titre5">
    <w:name w:val="heading 5"/>
    <w:basedOn w:val="Normal"/>
    <w:next w:val="Normal"/>
    <w:link w:val="Titre5Car"/>
    <w:uiPriority w:val="9"/>
    <w:semiHidden/>
    <w:unhideWhenUsed/>
    <w:qFormat/>
    <w:rsid w:val="004D6816"/>
    <w:pPr>
      <w:keepNext/>
      <w:keepLines/>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4D681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D681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D681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D681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D6816"/>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semiHidden/>
    <w:rsid w:val="004D6816"/>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4D6816"/>
    <w:rPr>
      <w:rFonts w:eastAsiaTheme="majorEastAsia" w:cstheme="majorBidi"/>
      <w:color w:val="2E74B5" w:themeColor="accent1" w:themeShade="BF"/>
      <w:sz w:val="28"/>
      <w:szCs w:val="28"/>
    </w:rPr>
  </w:style>
  <w:style w:type="character" w:customStyle="1" w:styleId="Titre4Car">
    <w:name w:val="Titre 4 Car"/>
    <w:basedOn w:val="Policepardfaut"/>
    <w:link w:val="Titre4"/>
    <w:uiPriority w:val="9"/>
    <w:semiHidden/>
    <w:rsid w:val="004D6816"/>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4D6816"/>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4D681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D681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D681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D6816"/>
    <w:rPr>
      <w:rFonts w:eastAsiaTheme="majorEastAsia" w:cstheme="majorBidi"/>
      <w:color w:val="272727" w:themeColor="text1" w:themeTint="D8"/>
    </w:rPr>
  </w:style>
  <w:style w:type="paragraph" w:styleId="Titre">
    <w:name w:val="Title"/>
    <w:basedOn w:val="Normal"/>
    <w:next w:val="Normal"/>
    <w:link w:val="TitreCar"/>
    <w:uiPriority w:val="10"/>
    <w:qFormat/>
    <w:rsid w:val="004D68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D681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D681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D681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D6816"/>
    <w:pPr>
      <w:spacing w:before="160"/>
      <w:jc w:val="center"/>
    </w:pPr>
    <w:rPr>
      <w:i/>
      <w:iCs/>
      <w:color w:val="404040" w:themeColor="text1" w:themeTint="BF"/>
    </w:rPr>
  </w:style>
  <w:style w:type="character" w:customStyle="1" w:styleId="CitationCar">
    <w:name w:val="Citation Car"/>
    <w:basedOn w:val="Policepardfaut"/>
    <w:link w:val="Citation"/>
    <w:uiPriority w:val="29"/>
    <w:rsid w:val="004D6816"/>
    <w:rPr>
      <w:i/>
      <w:iCs/>
      <w:color w:val="404040" w:themeColor="text1" w:themeTint="BF"/>
    </w:rPr>
  </w:style>
  <w:style w:type="paragraph" w:styleId="Paragraphedeliste">
    <w:name w:val="List Paragraph"/>
    <w:aliases w:val="Titre1,List Paragraph (numbered (a)),Bullets,- List tir,liste 1,puce 1,1,Paragraphe de liste1,List Paragraph,Paragraphe à Puce,References,Objectifs,List Paragraph1,List Paragraph2,Numbered paragraph,Medium Grid 1 - Accent 21,U 5,Puce"/>
    <w:basedOn w:val="Normal"/>
    <w:link w:val="ParagraphedelisteCar"/>
    <w:uiPriority w:val="34"/>
    <w:qFormat/>
    <w:rsid w:val="004D6816"/>
    <w:pPr>
      <w:ind w:left="720"/>
      <w:contextualSpacing/>
    </w:pPr>
  </w:style>
  <w:style w:type="character" w:styleId="Accentuationintense">
    <w:name w:val="Intense Emphasis"/>
    <w:basedOn w:val="Policepardfaut"/>
    <w:uiPriority w:val="21"/>
    <w:qFormat/>
    <w:rsid w:val="004D6816"/>
    <w:rPr>
      <w:i/>
      <w:iCs/>
      <w:color w:val="2E74B5" w:themeColor="accent1" w:themeShade="BF"/>
    </w:rPr>
  </w:style>
  <w:style w:type="paragraph" w:styleId="Citationintense">
    <w:name w:val="Intense Quote"/>
    <w:basedOn w:val="Normal"/>
    <w:next w:val="Normal"/>
    <w:link w:val="CitationintenseCar"/>
    <w:uiPriority w:val="30"/>
    <w:qFormat/>
    <w:rsid w:val="004D681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4D6816"/>
    <w:rPr>
      <w:i/>
      <w:iCs/>
      <w:color w:val="2E74B5" w:themeColor="accent1" w:themeShade="BF"/>
    </w:rPr>
  </w:style>
  <w:style w:type="character" w:styleId="Rfrenceintense">
    <w:name w:val="Intense Reference"/>
    <w:basedOn w:val="Policepardfaut"/>
    <w:uiPriority w:val="32"/>
    <w:qFormat/>
    <w:rsid w:val="004D6816"/>
    <w:rPr>
      <w:b/>
      <w:bCs/>
      <w:smallCaps/>
      <w:color w:val="2E74B5" w:themeColor="accent1" w:themeShade="BF"/>
      <w:spacing w:val="5"/>
    </w:rPr>
  </w:style>
  <w:style w:type="table" w:styleId="Grilledutableau">
    <w:name w:val="Table Grid"/>
    <w:basedOn w:val="TableauNormal"/>
    <w:uiPriority w:val="39"/>
    <w:qFormat/>
    <w:rsid w:val="004D68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aliases w:val="Caption Char Char,Car,Car Car Car Car Car Car Car,Car Car Car Car Car Car Car Car Car,Car Car Car Car Car,Car Car Car Car,Car Car Car Car Car Car Car Car Car Car Car Car,Car Car Car Car Car Car Car Car Car Car Car,Légende1,Légende21,Légende111"/>
    <w:basedOn w:val="Normal"/>
    <w:next w:val="Normal"/>
    <w:link w:val="LgendeCar"/>
    <w:uiPriority w:val="35"/>
    <w:unhideWhenUsed/>
    <w:qFormat/>
    <w:rsid w:val="004D6816"/>
    <w:pPr>
      <w:spacing w:after="0" w:line="276" w:lineRule="auto"/>
    </w:pPr>
    <w:rPr>
      <w:rFonts w:ascii="Arial" w:eastAsia="Calibri" w:hAnsi="Arial" w:cs="Arial"/>
      <w:b/>
      <w:bCs/>
      <w:color w:val="000000"/>
      <w:sz w:val="20"/>
      <w:szCs w:val="20"/>
      <w:lang w:val="fr-CA" w:eastAsia="fr-FR"/>
      <w14:ligatures w14:val="standardContextual"/>
    </w:rPr>
  </w:style>
  <w:style w:type="character" w:customStyle="1" w:styleId="LgendeCar">
    <w:name w:val="Légende Car"/>
    <w:aliases w:val="Caption Char Char Car,Car Car,Car Car Car Car Car Car Car Car,Car Car Car Car Car Car Car Car Car Car,Car Car Car Car Car Car,Car Car Car Car Car1,Car Car Car Car Car Car Car Car Car Car Car Car Car,Légende1 Car,Légende21 Car,Légende111 Car"/>
    <w:basedOn w:val="Policepardfaut"/>
    <w:link w:val="Lgende"/>
    <w:uiPriority w:val="35"/>
    <w:rsid w:val="004D6816"/>
    <w:rPr>
      <w:rFonts w:ascii="Arial" w:eastAsia="Calibri" w:hAnsi="Arial" w:cs="Arial"/>
      <w:b/>
      <w:bCs/>
      <w:color w:val="000000"/>
      <w:sz w:val="20"/>
      <w:szCs w:val="20"/>
      <w:lang w:val="fr-CA" w:eastAsia="fr-FR"/>
      <w14:ligatures w14:val="standardContextual"/>
    </w:rPr>
  </w:style>
  <w:style w:type="character" w:customStyle="1" w:styleId="ParagraphedelisteCar">
    <w:name w:val="Paragraphe de liste Car"/>
    <w:aliases w:val="Titre1 Car,List Paragraph (numbered (a)) Car,Bullets Car,- List tir Car,liste 1 Car,puce 1 Car,1 Car,Paragraphe de liste1 Car,List Paragraph Car,Paragraphe à Puce Car,References Car,Objectifs Car,List Paragraph1 Car,U 5 Car"/>
    <w:basedOn w:val="Policepardfaut"/>
    <w:link w:val="Paragraphedeliste"/>
    <w:uiPriority w:val="34"/>
    <w:qFormat/>
    <w:rsid w:val="004D6816"/>
  </w:style>
  <w:style w:type="paragraph" w:styleId="NormalWeb">
    <w:name w:val="Normal (Web)"/>
    <w:basedOn w:val="Normal"/>
    <w:uiPriority w:val="99"/>
    <w:unhideWhenUsed/>
    <w:rsid w:val="001663E2"/>
    <w:pPr>
      <w:spacing w:before="100" w:beforeAutospacing="1" w:after="100" w:afterAutospacing="1" w:line="240" w:lineRule="auto"/>
    </w:pPr>
    <w:rPr>
      <w:rFonts w:ascii="Times New Roman" w:eastAsia="Times New Roman" w:hAnsi="Times New Roman" w:cs="Times New Roman"/>
      <w:sz w:val="24"/>
      <w:szCs w:val="24"/>
      <w:lang w:val="fr-BJ" w:eastAsia="fr-BJ"/>
    </w:rPr>
  </w:style>
  <w:style w:type="character" w:styleId="lev">
    <w:name w:val="Strong"/>
    <w:basedOn w:val="Policepardfaut"/>
    <w:uiPriority w:val="22"/>
    <w:qFormat/>
    <w:rsid w:val="001663E2"/>
    <w:rPr>
      <w:b/>
      <w:bCs/>
    </w:rPr>
  </w:style>
  <w:style w:type="paragraph" w:styleId="Pieddepage">
    <w:name w:val="footer"/>
    <w:basedOn w:val="Normal"/>
    <w:link w:val="PieddepageCar"/>
    <w:uiPriority w:val="99"/>
    <w:unhideWhenUsed/>
    <w:rsid w:val="00F807D7"/>
    <w:pPr>
      <w:tabs>
        <w:tab w:val="center" w:pos="4536"/>
        <w:tab w:val="right" w:pos="9072"/>
      </w:tabs>
      <w:spacing w:after="0" w:line="240" w:lineRule="auto"/>
    </w:pPr>
    <w:rPr>
      <w:rFonts w:ascii="Franklin Gothic Book" w:eastAsia="Times New Roman" w:hAnsi="Franklin Gothic Book" w:cs="Times New Roman"/>
      <w:color w:val="000000"/>
      <w:kern w:val="28"/>
      <w:sz w:val="18"/>
      <w:szCs w:val="18"/>
      <w:lang w:eastAsia="fr-FR"/>
      <w14:ligatures w14:val="standard"/>
      <w14:cntxtAlts/>
    </w:rPr>
  </w:style>
  <w:style w:type="character" w:customStyle="1" w:styleId="PieddepageCar">
    <w:name w:val="Pied de page Car"/>
    <w:basedOn w:val="Policepardfaut"/>
    <w:link w:val="Pieddepage"/>
    <w:uiPriority w:val="99"/>
    <w:rsid w:val="00F807D7"/>
    <w:rPr>
      <w:rFonts w:ascii="Franklin Gothic Book" w:eastAsia="Times New Roman" w:hAnsi="Franklin Gothic Book" w:cs="Times New Roman"/>
      <w:color w:val="000000"/>
      <w:kern w:val="28"/>
      <w:sz w:val="18"/>
      <w:szCs w:val="18"/>
      <w:lang w:eastAsia="fr-FR"/>
      <w14:ligatures w14:val="standard"/>
      <w14:cntxtAlts/>
    </w:rPr>
  </w:style>
  <w:style w:type="paragraph" w:styleId="En-tte">
    <w:name w:val="header"/>
    <w:basedOn w:val="Normal"/>
    <w:link w:val="En-tteCar"/>
    <w:uiPriority w:val="99"/>
    <w:unhideWhenUsed/>
    <w:rsid w:val="00F807D7"/>
    <w:pPr>
      <w:tabs>
        <w:tab w:val="center" w:pos="4536"/>
        <w:tab w:val="right" w:pos="9072"/>
      </w:tabs>
      <w:spacing w:after="0" w:line="240" w:lineRule="auto"/>
    </w:pPr>
  </w:style>
  <w:style w:type="character" w:customStyle="1" w:styleId="En-tteCar">
    <w:name w:val="En-tête Car"/>
    <w:basedOn w:val="Policepardfaut"/>
    <w:link w:val="En-tte"/>
    <w:uiPriority w:val="99"/>
    <w:rsid w:val="00F807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369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2474</Words>
  <Characters>13608</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Michée TCHANDO [ Mairie de Natitingou ]</dc:creator>
  <cp:keywords/>
  <dc:description/>
  <cp:lastModifiedBy>Abdoul Aziz  ADEBI</cp:lastModifiedBy>
  <cp:revision>2</cp:revision>
  <dcterms:created xsi:type="dcterms:W3CDTF">2025-06-23T19:23:00Z</dcterms:created>
  <dcterms:modified xsi:type="dcterms:W3CDTF">2025-06-23T19:23:00Z</dcterms:modified>
</cp:coreProperties>
</file>